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D5" w:rsidRPr="00B125D5" w:rsidRDefault="00B125D5" w:rsidP="00B125D5">
      <w:pPr>
        <w:pStyle w:val="1"/>
        <w:shd w:val="clear" w:color="auto" w:fill="auto"/>
        <w:spacing w:after="260"/>
        <w:jc w:val="center"/>
        <w:rPr>
          <w:lang w:val="uk-UA"/>
        </w:rPr>
      </w:pPr>
      <w:r w:rsidRPr="00B125D5">
        <w:rPr>
          <w:b/>
          <w:bCs/>
          <w:lang w:val="uk-UA"/>
        </w:rPr>
        <w:t xml:space="preserve">Анотація </w:t>
      </w:r>
      <w:r w:rsidRPr="00B125D5">
        <w:rPr>
          <w:b/>
          <w:bCs/>
          <w:lang w:val="uk-UA" w:eastAsia="ru-RU" w:bidi="ru-RU"/>
        </w:rPr>
        <w:t xml:space="preserve">на </w:t>
      </w:r>
      <w:r w:rsidRPr="00B125D5">
        <w:rPr>
          <w:b/>
          <w:bCs/>
          <w:lang w:val="uk-UA"/>
        </w:rPr>
        <w:t xml:space="preserve">вибіркову </w:t>
      </w:r>
      <w:r w:rsidRPr="00B125D5">
        <w:rPr>
          <w:b/>
          <w:bCs/>
          <w:lang w:val="uk-UA" w:eastAsia="ru-RU" w:bidi="ru-RU"/>
        </w:rPr>
        <w:t xml:space="preserve">навчальну </w:t>
      </w:r>
      <w:r>
        <w:rPr>
          <w:b/>
          <w:bCs/>
          <w:lang w:val="uk-UA"/>
        </w:rPr>
        <w:t>дисципліну</w:t>
      </w:r>
      <w:r>
        <w:rPr>
          <w:b/>
          <w:bCs/>
          <w:lang w:val="uk-UA"/>
        </w:rPr>
        <w:br/>
        <w:t>«Європейська економічна інтеграція</w:t>
      </w:r>
      <w:r w:rsidRPr="00B125D5">
        <w:rPr>
          <w:b/>
          <w:bCs/>
          <w:lang w:val="uk-UA"/>
        </w:rPr>
        <w:t>»</w:t>
      </w:r>
    </w:p>
    <w:p w:rsidR="00B125D5" w:rsidRPr="00BF481B" w:rsidRDefault="00B125D5" w:rsidP="00B125D5">
      <w:pPr>
        <w:pStyle w:val="20"/>
        <w:shd w:val="clear" w:color="auto" w:fill="auto"/>
        <w:rPr>
          <w:sz w:val="24"/>
          <w:szCs w:val="24"/>
          <w:lang w:val="uk-UA"/>
        </w:rPr>
      </w:pPr>
      <w:r w:rsidRPr="00BF481B">
        <w:rPr>
          <w:sz w:val="24"/>
          <w:szCs w:val="24"/>
          <w:lang w:val="uk-UA"/>
        </w:rPr>
        <w:t xml:space="preserve">Рівень вищої освіти - </w:t>
      </w:r>
      <w:r w:rsidRPr="00BF481B">
        <w:rPr>
          <w:i/>
          <w:iCs/>
          <w:sz w:val="24"/>
          <w:szCs w:val="24"/>
          <w:lang w:val="uk-UA"/>
        </w:rPr>
        <w:t>другий (магістерський) рівень вищої освіти</w:t>
      </w:r>
    </w:p>
    <w:p w:rsidR="00B125D5" w:rsidRPr="00BF481B" w:rsidRDefault="00B125D5" w:rsidP="00B125D5">
      <w:pPr>
        <w:pStyle w:val="20"/>
        <w:shd w:val="clear" w:color="auto" w:fill="auto"/>
        <w:rPr>
          <w:sz w:val="24"/>
          <w:szCs w:val="24"/>
          <w:lang w:val="uk-UA"/>
        </w:rPr>
      </w:pPr>
      <w:r w:rsidRPr="00BF481B">
        <w:rPr>
          <w:sz w:val="24"/>
          <w:szCs w:val="24"/>
          <w:lang w:val="uk-UA"/>
        </w:rPr>
        <w:t xml:space="preserve">Кількість кредитів - </w:t>
      </w:r>
      <w:r w:rsidRPr="00BF481B">
        <w:rPr>
          <w:i/>
          <w:iCs/>
          <w:sz w:val="24"/>
          <w:szCs w:val="24"/>
          <w:lang w:val="uk-UA"/>
        </w:rPr>
        <w:t>4</w:t>
      </w:r>
    </w:p>
    <w:p w:rsidR="00B125D5" w:rsidRPr="00BF481B" w:rsidRDefault="00B125D5" w:rsidP="00B125D5">
      <w:pPr>
        <w:pStyle w:val="20"/>
        <w:shd w:val="clear" w:color="auto" w:fill="auto"/>
        <w:rPr>
          <w:sz w:val="24"/>
          <w:szCs w:val="24"/>
          <w:lang w:val="uk-UA"/>
        </w:rPr>
      </w:pPr>
      <w:r w:rsidRPr="00BF481B">
        <w:rPr>
          <w:sz w:val="24"/>
          <w:szCs w:val="24"/>
          <w:lang w:val="uk-UA"/>
        </w:rPr>
        <w:t xml:space="preserve">Компонент освітньої програми: </w:t>
      </w:r>
      <w:r w:rsidRPr="00BF481B">
        <w:rPr>
          <w:i/>
          <w:iCs/>
          <w:sz w:val="24"/>
          <w:szCs w:val="24"/>
          <w:lang w:val="uk-UA"/>
        </w:rPr>
        <w:t>вибірковий</w:t>
      </w:r>
    </w:p>
    <w:p w:rsidR="00B125D5" w:rsidRPr="00BF481B" w:rsidRDefault="00B125D5" w:rsidP="00B125D5">
      <w:pPr>
        <w:pStyle w:val="20"/>
        <w:shd w:val="clear" w:color="auto" w:fill="auto"/>
        <w:spacing w:after="420"/>
        <w:rPr>
          <w:sz w:val="24"/>
          <w:szCs w:val="24"/>
          <w:lang w:val="uk-UA"/>
        </w:rPr>
      </w:pPr>
      <w:r w:rsidRPr="00BF481B">
        <w:rPr>
          <w:sz w:val="24"/>
          <w:szCs w:val="24"/>
          <w:lang w:val="uk-UA"/>
        </w:rPr>
        <w:t xml:space="preserve">Мова викладання: </w:t>
      </w:r>
      <w:r w:rsidRPr="00BF481B">
        <w:rPr>
          <w:i/>
          <w:iCs/>
          <w:sz w:val="24"/>
          <w:szCs w:val="24"/>
          <w:lang w:val="uk-UA"/>
        </w:rPr>
        <w:t>українська</w:t>
      </w:r>
    </w:p>
    <w:p w:rsidR="00B125D5" w:rsidRPr="00BF481B" w:rsidRDefault="00B125D5" w:rsidP="00B125D5">
      <w:pPr>
        <w:pStyle w:val="20"/>
        <w:shd w:val="clear" w:color="auto" w:fill="auto"/>
        <w:spacing w:after="260" w:line="232" w:lineRule="auto"/>
        <w:ind w:firstLine="580"/>
        <w:jc w:val="both"/>
        <w:rPr>
          <w:sz w:val="24"/>
          <w:szCs w:val="24"/>
          <w:lang w:val="uk-UA"/>
        </w:rPr>
      </w:pPr>
      <w:r w:rsidRPr="00BF481B">
        <w:rPr>
          <w:b/>
          <w:bCs/>
          <w:sz w:val="24"/>
          <w:szCs w:val="24"/>
          <w:lang w:val="uk-UA"/>
        </w:rPr>
        <w:t xml:space="preserve">Викладач: </w:t>
      </w:r>
      <w:proofErr w:type="spellStart"/>
      <w:r w:rsidRPr="00BF481B">
        <w:rPr>
          <w:b/>
          <w:sz w:val="24"/>
          <w:szCs w:val="24"/>
          <w:lang w:val="uk-UA"/>
        </w:rPr>
        <w:t>Бачинська</w:t>
      </w:r>
      <w:proofErr w:type="spellEnd"/>
      <w:r w:rsidRPr="00BF481B">
        <w:rPr>
          <w:b/>
          <w:sz w:val="24"/>
          <w:szCs w:val="24"/>
          <w:lang w:val="uk-UA"/>
        </w:rPr>
        <w:t xml:space="preserve"> Олена Миколаївна</w:t>
      </w:r>
      <w:r w:rsidRPr="00BF481B">
        <w:rPr>
          <w:sz w:val="24"/>
          <w:szCs w:val="24"/>
          <w:lang w:val="uk-UA"/>
        </w:rPr>
        <w:t xml:space="preserve">, кандидат економічних наук, </w:t>
      </w:r>
      <w:r w:rsidRPr="00BF481B">
        <w:rPr>
          <w:sz w:val="24"/>
          <w:szCs w:val="24"/>
          <w:lang w:val="uk-UA" w:bidi="en-US"/>
        </w:rPr>
        <w:t>e-</w:t>
      </w:r>
      <w:proofErr w:type="spellStart"/>
      <w:r w:rsidRPr="00BF481B">
        <w:rPr>
          <w:sz w:val="24"/>
          <w:szCs w:val="24"/>
          <w:lang w:val="uk-UA" w:bidi="en-US"/>
        </w:rPr>
        <w:t>mail</w:t>
      </w:r>
      <w:proofErr w:type="spellEnd"/>
      <w:r w:rsidRPr="00BF481B">
        <w:rPr>
          <w:sz w:val="24"/>
          <w:szCs w:val="24"/>
          <w:lang w:val="uk-UA" w:bidi="en-US"/>
        </w:rPr>
        <w:t xml:space="preserve">: </w:t>
      </w:r>
      <w:r w:rsidRPr="00BF481B">
        <w:rPr>
          <w:sz w:val="24"/>
          <w:szCs w:val="24"/>
          <w:lang w:val="en-US" w:bidi="en-US"/>
        </w:rPr>
        <w:t>Helena</w:t>
      </w:r>
      <w:r w:rsidRPr="00BF481B">
        <w:rPr>
          <w:sz w:val="24"/>
          <w:szCs w:val="24"/>
          <w:lang w:bidi="en-US"/>
        </w:rPr>
        <w:t>_</w:t>
      </w:r>
      <w:proofErr w:type="spellStart"/>
      <w:r w:rsidRPr="00BF481B">
        <w:rPr>
          <w:sz w:val="24"/>
          <w:szCs w:val="24"/>
          <w:lang w:val="en-US" w:bidi="en-US"/>
        </w:rPr>
        <w:t>kozak</w:t>
      </w:r>
      <w:proofErr w:type="spellEnd"/>
      <w:r w:rsidRPr="00BF481B">
        <w:rPr>
          <w:sz w:val="24"/>
          <w:szCs w:val="24"/>
          <w:lang w:bidi="en-US"/>
        </w:rPr>
        <w:t>@</w:t>
      </w:r>
      <w:proofErr w:type="spellStart"/>
      <w:r w:rsidRPr="00BF481B">
        <w:rPr>
          <w:sz w:val="24"/>
          <w:szCs w:val="24"/>
          <w:lang w:val="en-US" w:bidi="en-US"/>
        </w:rPr>
        <w:t>ukr</w:t>
      </w:r>
      <w:proofErr w:type="spellEnd"/>
      <w:r w:rsidRPr="00BF481B">
        <w:rPr>
          <w:sz w:val="24"/>
          <w:szCs w:val="24"/>
          <w:lang w:bidi="en-US"/>
        </w:rPr>
        <w:t>.</w:t>
      </w:r>
      <w:r w:rsidRPr="00BF481B">
        <w:rPr>
          <w:sz w:val="24"/>
          <w:szCs w:val="24"/>
          <w:lang w:val="en-US" w:bidi="en-US"/>
        </w:rPr>
        <w:t>net</w:t>
      </w:r>
    </w:p>
    <w:p w:rsidR="00B125D5" w:rsidRPr="00B125D5" w:rsidRDefault="00B125D5" w:rsidP="00B125D5">
      <w:pPr>
        <w:pStyle w:val="1"/>
        <w:shd w:val="clear" w:color="auto" w:fill="auto"/>
        <w:jc w:val="center"/>
        <w:rPr>
          <w:lang w:val="uk-UA"/>
        </w:rPr>
      </w:pPr>
      <w:r w:rsidRPr="00B125D5">
        <w:rPr>
          <w:b/>
          <w:bCs/>
          <w:lang w:val="uk-UA"/>
        </w:rPr>
        <w:t>Опис дисципліни</w:t>
      </w:r>
    </w:p>
    <w:p w:rsidR="00747F15" w:rsidRPr="00747F15" w:rsidRDefault="00B125D5" w:rsidP="00B125D5">
      <w:pPr>
        <w:pStyle w:val="1"/>
        <w:numPr>
          <w:ilvl w:val="0"/>
          <w:numId w:val="1"/>
        </w:numPr>
        <w:shd w:val="clear" w:color="auto" w:fill="auto"/>
        <w:tabs>
          <w:tab w:val="left" w:pos="1109"/>
        </w:tabs>
        <w:ind w:firstLine="720"/>
        <w:jc w:val="both"/>
        <w:rPr>
          <w:lang w:val="uk-UA"/>
        </w:rPr>
      </w:pPr>
      <w:r w:rsidRPr="00747F15">
        <w:rPr>
          <w:b/>
          <w:bCs/>
          <w:lang w:val="uk-UA"/>
        </w:rPr>
        <w:t xml:space="preserve">Актуальність курсу. </w:t>
      </w:r>
      <w:r w:rsidR="00747F15" w:rsidRPr="00747F15">
        <w:rPr>
          <w:lang w:val="uk-UA"/>
        </w:rPr>
        <w:t>Програма цієї навчальної дисципліни для здобувачів вищої освіти передбачає вивчення як теоретичних основ виникнення, розвитку та функціонування європейської економічної інтеграції, так і практичного досвіду його функціонування та можливих його перспектив і перспективи євроінтеграції аграрної сфери економіки України. А тому дана навчальна дисципліна сприяє послідовному вивченню сутності понять «інтеграція», «економічна інтеграція», «міжнародна економічна інтеграція», «міжнародні інтеграційні угрупування», розвитку організаційних форм міжнародної економічної інтеграції, визначення її ефективності, чинників, що впливають на його розвиток, можливостей застосування зарубіжного досвіду в Україні на шляху її євроінтеграції, ролі і місця аграрної сфери економіки у цьому процесі.</w:t>
      </w:r>
    </w:p>
    <w:p w:rsidR="00747F15" w:rsidRPr="00747F15" w:rsidRDefault="00B125D5" w:rsidP="00B125D5">
      <w:pPr>
        <w:pStyle w:val="1"/>
        <w:numPr>
          <w:ilvl w:val="0"/>
          <w:numId w:val="1"/>
        </w:numPr>
        <w:shd w:val="clear" w:color="auto" w:fill="auto"/>
        <w:tabs>
          <w:tab w:val="left" w:pos="1109"/>
        </w:tabs>
        <w:ind w:firstLine="720"/>
        <w:jc w:val="both"/>
        <w:rPr>
          <w:lang w:val="uk-UA"/>
        </w:rPr>
      </w:pPr>
      <w:r w:rsidRPr="00747F15">
        <w:rPr>
          <w:b/>
          <w:bCs/>
          <w:lang w:val="uk-UA"/>
        </w:rPr>
        <w:t xml:space="preserve">Метою дисципліни </w:t>
      </w:r>
      <w:r w:rsidR="00747F15" w:rsidRPr="00747F15">
        <w:rPr>
          <w:lang w:val="uk-UA"/>
        </w:rPr>
        <w:t>є дати цілісну і логічно-послідовну систему знань про сутність європейської економічної інтеграції, її принципи та організаційно-економічні засади функціонування і організаційні форми.</w:t>
      </w:r>
    </w:p>
    <w:p w:rsidR="00747F15" w:rsidRDefault="00B125D5" w:rsidP="00B125D5">
      <w:pPr>
        <w:pStyle w:val="1"/>
        <w:numPr>
          <w:ilvl w:val="0"/>
          <w:numId w:val="1"/>
        </w:numPr>
        <w:shd w:val="clear" w:color="auto" w:fill="auto"/>
        <w:tabs>
          <w:tab w:val="left" w:pos="1109"/>
        </w:tabs>
        <w:ind w:firstLine="720"/>
        <w:jc w:val="both"/>
        <w:rPr>
          <w:lang w:val="uk-UA"/>
        </w:rPr>
      </w:pPr>
      <w:r w:rsidRPr="00747F15">
        <w:rPr>
          <w:b/>
          <w:bCs/>
          <w:lang w:val="uk-UA"/>
        </w:rPr>
        <w:t>Завдання курсу</w:t>
      </w:r>
      <w:r w:rsidRPr="00747F15">
        <w:rPr>
          <w:lang w:val="uk-UA"/>
        </w:rPr>
        <w:t xml:space="preserve"> </w:t>
      </w:r>
      <w:r w:rsidR="00747F15" w:rsidRPr="00747F15">
        <w:rPr>
          <w:lang w:val="uk-UA"/>
        </w:rPr>
        <w:t>є забезпечення майбутніх фахівц</w:t>
      </w:r>
      <w:r w:rsidR="00747F15">
        <w:rPr>
          <w:lang w:val="uk-UA"/>
        </w:rPr>
        <w:t>ів необхідною теоретичною базою</w:t>
      </w:r>
      <w:r w:rsidR="00747F15" w:rsidRPr="00747F15">
        <w:rPr>
          <w:lang w:val="uk-UA"/>
        </w:rPr>
        <w:t>, правовими знаннями та інформацією щодо досвіду функціонування в умовах міжнародної економічної інтеграції на прикладі ЄС для їх успішної роботи в господарських і управлінських організаціях різного рівня з орієнтацією на перспективи євроінтеграції аграрної сфери економіки України.</w:t>
      </w:r>
    </w:p>
    <w:p w:rsidR="00B125D5" w:rsidRPr="00747F15" w:rsidRDefault="00B125D5" w:rsidP="00B125D5">
      <w:pPr>
        <w:pStyle w:val="1"/>
        <w:numPr>
          <w:ilvl w:val="0"/>
          <w:numId w:val="1"/>
        </w:numPr>
        <w:shd w:val="clear" w:color="auto" w:fill="auto"/>
        <w:tabs>
          <w:tab w:val="left" w:pos="1109"/>
        </w:tabs>
        <w:ind w:firstLine="720"/>
        <w:jc w:val="both"/>
        <w:rPr>
          <w:lang w:val="uk-UA"/>
        </w:rPr>
      </w:pPr>
      <w:r w:rsidRPr="00747F15">
        <w:rPr>
          <w:b/>
          <w:bCs/>
          <w:lang w:val="uk-UA"/>
        </w:rPr>
        <w:t>Проблематика (зміст дисципліни), яка буде розглянута у процесі вивчення навчальної дисципліни</w:t>
      </w:r>
      <w:r w:rsidR="00747F15">
        <w:rPr>
          <w:b/>
          <w:bCs/>
          <w:lang w:val="uk-UA"/>
        </w:rPr>
        <w:t>:</w:t>
      </w:r>
    </w:p>
    <w:p w:rsidR="00747F15" w:rsidRPr="00747F15" w:rsidRDefault="00747F15" w:rsidP="00747F15">
      <w:pPr>
        <w:pStyle w:val="1"/>
        <w:shd w:val="clear" w:color="auto" w:fill="auto"/>
        <w:tabs>
          <w:tab w:val="left" w:pos="1109"/>
        </w:tabs>
        <w:ind w:left="720"/>
        <w:jc w:val="both"/>
        <w:rPr>
          <w:lang w:val="uk-UA"/>
        </w:rPr>
      </w:pPr>
      <w:r>
        <w:t xml:space="preserve">Тема 1. </w:t>
      </w:r>
      <w:r w:rsidRPr="00747F15">
        <w:rPr>
          <w:lang w:val="uk-UA"/>
        </w:rPr>
        <w:t>Теоретичні основи міжнародної економічної інтеграції.</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2. Становлення та принципи розширення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3. Інституційна система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4. Бюджет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5. Спільна аграрна політика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6. Регіональна політика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7. Екологічна політика ЄС.</w:t>
      </w:r>
    </w:p>
    <w:p w:rsidR="00747F15" w:rsidRPr="00747F15" w:rsidRDefault="00747F15" w:rsidP="00747F15">
      <w:pPr>
        <w:pStyle w:val="1"/>
        <w:shd w:val="clear" w:color="auto" w:fill="auto"/>
        <w:tabs>
          <w:tab w:val="left" w:pos="1109"/>
        </w:tabs>
        <w:ind w:left="720"/>
        <w:jc w:val="both"/>
        <w:rPr>
          <w:lang w:val="uk-UA"/>
        </w:rPr>
      </w:pPr>
      <w:r w:rsidRPr="00747F15">
        <w:rPr>
          <w:lang w:val="uk-UA"/>
        </w:rPr>
        <w:t>Тема 8. Економічна інтеграція України до ЄС.</w:t>
      </w:r>
    </w:p>
    <w:p w:rsidR="00B125D5" w:rsidRPr="00B125D5" w:rsidRDefault="00B125D5" w:rsidP="00B125D5">
      <w:pPr>
        <w:pStyle w:val="1"/>
        <w:numPr>
          <w:ilvl w:val="0"/>
          <w:numId w:val="1"/>
        </w:numPr>
        <w:shd w:val="clear" w:color="auto" w:fill="auto"/>
        <w:tabs>
          <w:tab w:val="left" w:pos="1109"/>
        </w:tabs>
        <w:ind w:firstLine="720"/>
        <w:jc w:val="both"/>
        <w:rPr>
          <w:b/>
          <w:bCs/>
          <w:lang w:val="uk-UA"/>
        </w:rPr>
      </w:pPr>
      <w:r w:rsidRPr="00B125D5">
        <w:rPr>
          <w:b/>
          <w:bCs/>
          <w:lang w:val="uk-UA"/>
        </w:rPr>
        <w:t>У результаті вивчення навчальної дисципліни студент повинен знати і вміти:</w:t>
      </w:r>
    </w:p>
    <w:p w:rsidR="00747F15" w:rsidRDefault="00747F15" w:rsidP="00B125D5">
      <w:pPr>
        <w:pStyle w:val="1"/>
        <w:shd w:val="clear" w:color="auto" w:fill="auto"/>
        <w:ind w:firstLine="720"/>
        <w:jc w:val="both"/>
        <w:rPr>
          <w:lang w:val="uk-UA"/>
        </w:rPr>
      </w:pPr>
      <w:r w:rsidRPr="00747F15">
        <w:rPr>
          <w:lang w:val="uk-UA"/>
        </w:rPr>
        <w:t xml:space="preserve">знати: </w:t>
      </w:r>
    </w:p>
    <w:p w:rsidR="00747F15" w:rsidRDefault="00747F15" w:rsidP="00B125D5">
      <w:pPr>
        <w:pStyle w:val="1"/>
        <w:shd w:val="clear" w:color="auto" w:fill="auto"/>
        <w:ind w:firstLine="720"/>
        <w:jc w:val="both"/>
        <w:rPr>
          <w:lang w:val="uk-UA"/>
        </w:rPr>
      </w:pPr>
      <w:r w:rsidRPr="00747F15">
        <w:rPr>
          <w:lang w:val="uk-UA"/>
        </w:rPr>
        <w:lastRenderedPageBreak/>
        <w:t xml:space="preserve">- сутність дефініції «міжнародна економічна інтеграція», її передумови та цілі; </w:t>
      </w:r>
    </w:p>
    <w:p w:rsidR="00747F15" w:rsidRDefault="00747F15" w:rsidP="00B125D5">
      <w:pPr>
        <w:pStyle w:val="1"/>
        <w:shd w:val="clear" w:color="auto" w:fill="auto"/>
        <w:ind w:firstLine="720"/>
        <w:jc w:val="both"/>
        <w:rPr>
          <w:lang w:val="uk-UA"/>
        </w:rPr>
      </w:pPr>
      <w:r w:rsidRPr="00747F15">
        <w:rPr>
          <w:lang w:val="uk-UA"/>
        </w:rPr>
        <w:t xml:space="preserve">- різноманітні наукові підходи до розуміння міжнародної економічної інтеграції; </w:t>
      </w:r>
    </w:p>
    <w:p w:rsidR="00747F15" w:rsidRDefault="00747F15" w:rsidP="00B125D5">
      <w:pPr>
        <w:pStyle w:val="1"/>
        <w:shd w:val="clear" w:color="auto" w:fill="auto"/>
        <w:ind w:firstLine="720"/>
        <w:jc w:val="both"/>
        <w:rPr>
          <w:lang w:val="uk-UA"/>
        </w:rPr>
      </w:pPr>
      <w:r w:rsidRPr="00747F15">
        <w:rPr>
          <w:lang w:val="uk-UA"/>
        </w:rPr>
        <w:t xml:space="preserve">- основні етапи регіональної економічної інтеграції та їх особливості; </w:t>
      </w:r>
    </w:p>
    <w:p w:rsidR="00747F15" w:rsidRDefault="00747F15" w:rsidP="00B125D5">
      <w:pPr>
        <w:pStyle w:val="1"/>
        <w:shd w:val="clear" w:color="auto" w:fill="auto"/>
        <w:ind w:firstLine="720"/>
        <w:jc w:val="both"/>
        <w:rPr>
          <w:lang w:val="uk-UA"/>
        </w:rPr>
      </w:pPr>
      <w:r w:rsidRPr="00747F15">
        <w:rPr>
          <w:lang w:val="uk-UA"/>
        </w:rPr>
        <w:t xml:space="preserve">- головні етапи становлення ЄС та їх особливості; </w:t>
      </w:r>
    </w:p>
    <w:p w:rsidR="00747F15" w:rsidRDefault="00747F15" w:rsidP="00B125D5">
      <w:pPr>
        <w:pStyle w:val="1"/>
        <w:shd w:val="clear" w:color="auto" w:fill="auto"/>
        <w:ind w:firstLine="720"/>
        <w:jc w:val="both"/>
        <w:rPr>
          <w:lang w:val="uk-UA"/>
        </w:rPr>
      </w:pPr>
      <w:r w:rsidRPr="00747F15">
        <w:rPr>
          <w:lang w:val="uk-UA"/>
        </w:rPr>
        <w:t xml:space="preserve">- основні стадії процедури вступу країни до ЄС; </w:t>
      </w:r>
    </w:p>
    <w:p w:rsidR="00747F15" w:rsidRDefault="00747F15" w:rsidP="00B125D5">
      <w:pPr>
        <w:pStyle w:val="1"/>
        <w:shd w:val="clear" w:color="auto" w:fill="auto"/>
        <w:ind w:firstLine="720"/>
        <w:jc w:val="both"/>
        <w:rPr>
          <w:lang w:val="uk-UA"/>
        </w:rPr>
      </w:pPr>
      <w:r w:rsidRPr="00747F15">
        <w:rPr>
          <w:lang w:val="uk-UA"/>
        </w:rPr>
        <w:t xml:space="preserve">- критерії членства держави у ЄС; </w:t>
      </w:r>
    </w:p>
    <w:p w:rsidR="00747F15" w:rsidRDefault="00747F15" w:rsidP="00B125D5">
      <w:pPr>
        <w:pStyle w:val="1"/>
        <w:shd w:val="clear" w:color="auto" w:fill="auto"/>
        <w:ind w:firstLine="720"/>
        <w:jc w:val="both"/>
        <w:rPr>
          <w:lang w:val="uk-UA"/>
        </w:rPr>
      </w:pPr>
      <w:r w:rsidRPr="00747F15">
        <w:rPr>
          <w:lang w:val="uk-UA"/>
        </w:rPr>
        <w:t xml:space="preserve">- інституційну систему ЄС; </w:t>
      </w:r>
    </w:p>
    <w:p w:rsidR="00747F15" w:rsidRDefault="00747F15" w:rsidP="00B125D5">
      <w:pPr>
        <w:pStyle w:val="1"/>
        <w:shd w:val="clear" w:color="auto" w:fill="auto"/>
        <w:ind w:firstLine="720"/>
        <w:jc w:val="both"/>
        <w:rPr>
          <w:lang w:val="uk-UA"/>
        </w:rPr>
      </w:pPr>
      <w:r w:rsidRPr="00747F15">
        <w:rPr>
          <w:lang w:val="uk-UA"/>
        </w:rPr>
        <w:t xml:space="preserve">- сутність, мету, принципи та цикли реалізації бюджету ЄС. </w:t>
      </w:r>
    </w:p>
    <w:p w:rsidR="00747F15" w:rsidRDefault="00747F15" w:rsidP="00B125D5">
      <w:pPr>
        <w:pStyle w:val="1"/>
        <w:shd w:val="clear" w:color="auto" w:fill="auto"/>
        <w:ind w:firstLine="720"/>
        <w:jc w:val="both"/>
        <w:rPr>
          <w:lang w:val="uk-UA"/>
        </w:rPr>
      </w:pPr>
      <w:r w:rsidRPr="00747F15">
        <w:rPr>
          <w:lang w:val="uk-UA"/>
        </w:rPr>
        <w:t xml:space="preserve">- сутність, цілі, принципи, етапи еволюції спільної аграрної політики ЄС та їх особливості; </w:t>
      </w:r>
    </w:p>
    <w:p w:rsidR="00747F15" w:rsidRDefault="00747F15" w:rsidP="00B125D5">
      <w:pPr>
        <w:pStyle w:val="1"/>
        <w:shd w:val="clear" w:color="auto" w:fill="auto"/>
        <w:ind w:firstLine="720"/>
        <w:jc w:val="both"/>
        <w:rPr>
          <w:lang w:val="uk-UA"/>
        </w:rPr>
      </w:pPr>
      <w:r w:rsidRPr="00747F15">
        <w:rPr>
          <w:lang w:val="uk-UA"/>
        </w:rPr>
        <w:t xml:space="preserve">- економіко-фінансові інструменти реалізації САП ЄС та їх трансформацію; - сільськогосподарські фонди ЄС; </w:t>
      </w:r>
    </w:p>
    <w:p w:rsidR="00747F15" w:rsidRDefault="00747F15" w:rsidP="00B125D5">
      <w:pPr>
        <w:pStyle w:val="1"/>
        <w:shd w:val="clear" w:color="auto" w:fill="auto"/>
        <w:ind w:firstLine="720"/>
        <w:jc w:val="both"/>
        <w:rPr>
          <w:lang w:val="uk-UA"/>
        </w:rPr>
      </w:pPr>
      <w:r w:rsidRPr="00747F15">
        <w:rPr>
          <w:lang w:val="uk-UA"/>
        </w:rPr>
        <w:t xml:space="preserve">- сутність, еволюцію та основні наслідки реалізації регіональної політики ЄС; </w:t>
      </w:r>
    </w:p>
    <w:p w:rsidR="00747F15" w:rsidRDefault="00747F15" w:rsidP="00B125D5">
      <w:pPr>
        <w:pStyle w:val="1"/>
        <w:shd w:val="clear" w:color="auto" w:fill="auto"/>
        <w:ind w:firstLine="720"/>
        <w:jc w:val="both"/>
        <w:rPr>
          <w:lang w:val="uk-UA"/>
        </w:rPr>
      </w:pPr>
      <w:r w:rsidRPr="00747F15">
        <w:rPr>
          <w:lang w:val="uk-UA"/>
        </w:rPr>
        <w:t xml:space="preserve">- ключові пріоритетні напрями фінансування заходів із Європейського фонду регіонального розвитку; </w:t>
      </w:r>
    </w:p>
    <w:p w:rsidR="00747F15" w:rsidRDefault="00747F15" w:rsidP="00B125D5">
      <w:pPr>
        <w:pStyle w:val="1"/>
        <w:shd w:val="clear" w:color="auto" w:fill="auto"/>
        <w:ind w:firstLine="720"/>
        <w:jc w:val="both"/>
        <w:rPr>
          <w:lang w:val="uk-UA"/>
        </w:rPr>
      </w:pPr>
      <w:r w:rsidRPr="00747F15">
        <w:rPr>
          <w:lang w:val="uk-UA"/>
        </w:rPr>
        <w:t xml:space="preserve">- сутність, особливості, мету та еволюцію екологічної політики ЄС; </w:t>
      </w:r>
    </w:p>
    <w:p w:rsidR="00747F15" w:rsidRDefault="00747F15" w:rsidP="00B125D5">
      <w:pPr>
        <w:pStyle w:val="1"/>
        <w:shd w:val="clear" w:color="auto" w:fill="auto"/>
        <w:ind w:firstLine="720"/>
        <w:jc w:val="both"/>
        <w:rPr>
          <w:lang w:val="uk-UA"/>
        </w:rPr>
      </w:pPr>
      <w:r w:rsidRPr="00747F15">
        <w:rPr>
          <w:lang w:val="uk-UA"/>
        </w:rPr>
        <w:t>- фактичні та очікувані економічні наслідки для нашої держави внаслідок започаткування поглибленої та всеохоплюючої зони вільної торгівлі з ЄС;</w:t>
      </w:r>
    </w:p>
    <w:p w:rsidR="00747F15" w:rsidRDefault="00747F15" w:rsidP="00B125D5">
      <w:pPr>
        <w:pStyle w:val="1"/>
        <w:shd w:val="clear" w:color="auto" w:fill="auto"/>
        <w:ind w:firstLine="720"/>
        <w:jc w:val="both"/>
        <w:rPr>
          <w:lang w:val="uk-UA"/>
        </w:rPr>
      </w:pPr>
      <w:r w:rsidRPr="00747F15">
        <w:rPr>
          <w:lang w:val="uk-UA"/>
        </w:rPr>
        <w:t xml:space="preserve"> вміти: </w:t>
      </w:r>
    </w:p>
    <w:p w:rsidR="00747F15" w:rsidRDefault="00747F15" w:rsidP="00B125D5">
      <w:pPr>
        <w:pStyle w:val="1"/>
        <w:shd w:val="clear" w:color="auto" w:fill="auto"/>
        <w:ind w:firstLine="720"/>
        <w:jc w:val="both"/>
        <w:rPr>
          <w:lang w:val="uk-UA"/>
        </w:rPr>
      </w:pPr>
      <w:r w:rsidRPr="00747F15">
        <w:rPr>
          <w:lang w:val="uk-UA"/>
        </w:rPr>
        <w:t xml:space="preserve">- передбачувати динамічні наслідки від реалізації інтеграційного процесу; </w:t>
      </w:r>
    </w:p>
    <w:p w:rsidR="00747F15" w:rsidRDefault="00747F15" w:rsidP="00B125D5">
      <w:pPr>
        <w:pStyle w:val="1"/>
        <w:shd w:val="clear" w:color="auto" w:fill="auto"/>
        <w:ind w:firstLine="720"/>
        <w:jc w:val="both"/>
        <w:rPr>
          <w:lang w:val="uk-UA"/>
        </w:rPr>
      </w:pPr>
      <w:r w:rsidRPr="00747F15">
        <w:rPr>
          <w:lang w:val="uk-UA"/>
        </w:rPr>
        <w:t xml:space="preserve">- виявляти етап, на якому знаходиться конкретне інтеграційне угруповання; </w:t>
      </w:r>
    </w:p>
    <w:p w:rsidR="00747F15" w:rsidRDefault="00747F15" w:rsidP="00B125D5">
      <w:pPr>
        <w:pStyle w:val="1"/>
        <w:shd w:val="clear" w:color="auto" w:fill="auto"/>
        <w:ind w:firstLine="720"/>
        <w:jc w:val="both"/>
        <w:rPr>
          <w:lang w:val="uk-UA"/>
        </w:rPr>
      </w:pPr>
      <w:r w:rsidRPr="00747F15">
        <w:rPr>
          <w:lang w:val="uk-UA"/>
        </w:rPr>
        <w:t xml:space="preserve">- встановлювати, чи готова країна до приєднання до ЄС (відповідає Копенгагенським критеріям); </w:t>
      </w:r>
    </w:p>
    <w:p w:rsidR="00747F15" w:rsidRDefault="00747F15" w:rsidP="00B125D5">
      <w:pPr>
        <w:pStyle w:val="1"/>
        <w:shd w:val="clear" w:color="auto" w:fill="auto"/>
        <w:ind w:firstLine="720"/>
        <w:jc w:val="both"/>
        <w:rPr>
          <w:lang w:val="uk-UA"/>
        </w:rPr>
      </w:pPr>
      <w:r w:rsidRPr="00747F15">
        <w:rPr>
          <w:lang w:val="uk-UA"/>
        </w:rPr>
        <w:t xml:space="preserve">- передбачати політико-економічні рішення у ЄС відповідно до фактичного стану головних інститутів регіонального об’єднання; </w:t>
      </w:r>
    </w:p>
    <w:p w:rsidR="00747F15" w:rsidRDefault="00747F15" w:rsidP="00B125D5">
      <w:pPr>
        <w:pStyle w:val="1"/>
        <w:shd w:val="clear" w:color="auto" w:fill="auto"/>
        <w:ind w:firstLine="720"/>
        <w:jc w:val="both"/>
        <w:rPr>
          <w:lang w:val="uk-UA"/>
        </w:rPr>
      </w:pPr>
      <w:r w:rsidRPr="00747F15">
        <w:rPr>
          <w:lang w:val="uk-UA"/>
        </w:rPr>
        <w:t xml:space="preserve">- визначати перспективи розвитку сільського господарства ЄС, виходячи із процесу реформування спільної аграрної політики інтеграційного угруповання; </w:t>
      </w:r>
    </w:p>
    <w:p w:rsidR="00747F15" w:rsidRDefault="00747F15" w:rsidP="00B125D5">
      <w:pPr>
        <w:pStyle w:val="1"/>
        <w:shd w:val="clear" w:color="auto" w:fill="auto"/>
        <w:ind w:firstLine="720"/>
        <w:jc w:val="both"/>
        <w:rPr>
          <w:lang w:val="uk-UA"/>
        </w:rPr>
      </w:pPr>
      <w:r w:rsidRPr="00747F15">
        <w:rPr>
          <w:lang w:val="uk-UA"/>
        </w:rPr>
        <w:t xml:space="preserve">- аналізувати структуру фінансової підтримки аграрного сектору ЄС; </w:t>
      </w:r>
    </w:p>
    <w:p w:rsidR="00747F15" w:rsidRDefault="00747F15" w:rsidP="00B125D5">
      <w:pPr>
        <w:pStyle w:val="1"/>
        <w:shd w:val="clear" w:color="auto" w:fill="auto"/>
        <w:ind w:firstLine="720"/>
        <w:jc w:val="both"/>
        <w:rPr>
          <w:lang w:val="uk-UA"/>
        </w:rPr>
      </w:pPr>
      <w:r w:rsidRPr="00747F15">
        <w:rPr>
          <w:lang w:val="uk-UA"/>
        </w:rPr>
        <w:t xml:space="preserve">- виявляти фонди регіональної політики, з яких здійснюється фінансування конкретних проектів; </w:t>
      </w:r>
    </w:p>
    <w:p w:rsidR="00747F15" w:rsidRDefault="00747F15" w:rsidP="00B125D5">
      <w:pPr>
        <w:pStyle w:val="1"/>
        <w:shd w:val="clear" w:color="auto" w:fill="auto"/>
        <w:ind w:firstLine="720"/>
        <w:jc w:val="both"/>
        <w:rPr>
          <w:lang w:val="uk-UA"/>
        </w:rPr>
      </w:pPr>
      <w:r w:rsidRPr="00747F15">
        <w:rPr>
          <w:lang w:val="uk-UA"/>
        </w:rPr>
        <w:t xml:space="preserve">- розмежовувати й обґрунтовувати економічні і соціогуманітарні цілі програм регіональної політики; </w:t>
      </w:r>
    </w:p>
    <w:p w:rsidR="00747F15" w:rsidRDefault="00747F15" w:rsidP="00B125D5">
      <w:pPr>
        <w:pStyle w:val="1"/>
        <w:shd w:val="clear" w:color="auto" w:fill="auto"/>
        <w:ind w:firstLine="720"/>
        <w:jc w:val="both"/>
        <w:rPr>
          <w:lang w:val="uk-UA"/>
        </w:rPr>
      </w:pPr>
      <w:r w:rsidRPr="00747F15">
        <w:rPr>
          <w:lang w:val="uk-UA"/>
        </w:rPr>
        <w:t xml:space="preserve">- аналізувати й обґрунтовувати економічні наслідки від проведення перших етапів торговельної інтеграції між Україною та ЄС; </w:t>
      </w:r>
    </w:p>
    <w:p w:rsidR="00B125D5" w:rsidRDefault="00441FBF" w:rsidP="00B125D5">
      <w:pPr>
        <w:pStyle w:val="1"/>
        <w:shd w:val="clear" w:color="auto" w:fill="auto"/>
        <w:ind w:firstLine="720"/>
        <w:jc w:val="both"/>
        <w:rPr>
          <w:lang w:val="uk-UA"/>
        </w:rPr>
      </w:pPr>
      <w:r>
        <w:rPr>
          <w:lang w:val="uk-UA"/>
        </w:rPr>
        <w:t>- оцінювати й аргумент</w:t>
      </w:r>
      <w:r w:rsidR="00747F15" w:rsidRPr="00747F15">
        <w:rPr>
          <w:lang w:val="uk-UA"/>
        </w:rPr>
        <w:t>увати наслідки для вітчизняної економіки від еміграції трудових ресурсів до країн-членів ЄС</w:t>
      </w:r>
    </w:p>
    <w:p w:rsidR="00441FBF" w:rsidRDefault="00441FBF" w:rsidP="00B125D5">
      <w:pPr>
        <w:pStyle w:val="1"/>
        <w:shd w:val="clear" w:color="auto" w:fill="auto"/>
        <w:ind w:firstLine="720"/>
        <w:jc w:val="both"/>
        <w:rPr>
          <w:lang w:val="uk-UA"/>
        </w:rPr>
      </w:pPr>
    </w:p>
    <w:p w:rsidR="00441FBF" w:rsidRPr="00747F15" w:rsidRDefault="00441FBF" w:rsidP="00B125D5">
      <w:pPr>
        <w:pStyle w:val="1"/>
        <w:shd w:val="clear" w:color="auto" w:fill="auto"/>
        <w:ind w:firstLine="720"/>
        <w:jc w:val="both"/>
        <w:rPr>
          <w:lang w:val="uk-UA"/>
        </w:rPr>
      </w:pPr>
    </w:p>
    <w:p w:rsidR="00B125D5" w:rsidRPr="00B125D5" w:rsidRDefault="00B125D5" w:rsidP="00B125D5">
      <w:pPr>
        <w:pStyle w:val="1"/>
        <w:numPr>
          <w:ilvl w:val="0"/>
          <w:numId w:val="1"/>
        </w:numPr>
        <w:shd w:val="clear" w:color="auto" w:fill="auto"/>
        <w:tabs>
          <w:tab w:val="left" w:pos="1109"/>
        </w:tabs>
        <w:ind w:firstLine="720"/>
        <w:jc w:val="both"/>
        <w:rPr>
          <w:b/>
          <w:bCs/>
          <w:lang w:val="uk-UA"/>
        </w:rPr>
      </w:pPr>
      <w:r w:rsidRPr="00B125D5">
        <w:rPr>
          <w:b/>
          <w:bCs/>
          <w:lang w:val="uk-UA"/>
        </w:rPr>
        <w:lastRenderedPageBreak/>
        <w:t>Шкала оцінювання з навчальної дисципліни у балах за всі види навчальної діяльності, яка переводиться в оцінку за шкалою ECTS та у чотирибальну національну шкалу:</w:t>
      </w:r>
    </w:p>
    <w:p w:rsidR="00B125D5" w:rsidRPr="00B125D5" w:rsidRDefault="00B125D5" w:rsidP="00B125D5">
      <w:pPr>
        <w:shd w:val="clear" w:color="auto" w:fill="FFFFFF"/>
        <w:ind w:left="284" w:right="1" w:firstLine="567"/>
        <w:jc w:val="both"/>
        <w:rPr>
          <w:rFonts w:ascii="Times New Roman" w:hAnsi="Times New Roman" w:cs="Times New Roman"/>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2724"/>
        <w:gridCol w:w="2268"/>
        <w:gridCol w:w="2268"/>
      </w:tblGrid>
      <w:tr w:rsidR="00B125D5" w:rsidRPr="00B125D5" w:rsidTr="00B125D5">
        <w:trPr>
          <w:jc w:val="center"/>
        </w:trPr>
        <w:tc>
          <w:tcPr>
            <w:tcW w:w="1920"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Сума балів за шкалою Інституту</w:t>
            </w:r>
          </w:p>
        </w:tc>
        <w:tc>
          <w:tcPr>
            <w:tcW w:w="2724"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Оцінка  за шкалою ECTS</w:t>
            </w:r>
          </w:p>
        </w:tc>
        <w:tc>
          <w:tcPr>
            <w:tcW w:w="4536" w:type="dxa"/>
            <w:gridSpan w:val="2"/>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Оцінка за національною шкалою</w:t>
            </w:r>
          </w:p>
        </w:tc>
      </w:tr>
      <w:tr w:rsidR="00B125D5" w:rsidRPr="00B125D5" w:rsidTr="00B125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Іспит </w:t>
            </w:r>
          </w:p>
        </w:tc>
        <w:tc>
          <w:tcPr>
            <w:tcW w:w="2268"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Залік </w:t>
            </w: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90-100</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А (відмінно)</w:t>
            </w:r>
          </w:p>
        </w:tc>
        <w:tc>
          <w:tcPr>
            <w:tcW w:w="2268"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Відмінно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ind w:right="-108"/>
              <w:jc w:val="center"/>
              <w:rPr>
                <w:rFonts w:ascii="Times New Roman" w:eastAsia="Calibri" w:hAnsi="Times New Roman" w:cs="Times New Roman"/>
              </w:rPr>
            </w:pPr>
            <w:r w:rsidRPr="00B125D5">
              <w:rPr>
                <w:rFonts w:ascii="Times New Roman" w:eastAsia="Calibri" w:hAnsi="Times New Roman" w:cs="Times New Roman"/>
              </w:rPr>
              <w:t xml:space="preserve">Зараховано </w:t>
            </w: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82-89</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В (дуже добре)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75-81</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С (добре)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65-74</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D (задовільно)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60-64</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E (достатньо)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35-59</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FX (незадовільно з можливістю повторного складання)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Незадовільно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 xml:space="preserve">Не зараховано </w:t>
            </w:r>
          </w:p>
        </w:tc>
      </w:tr>
      <w:tr w:rsidR="00B125D5" w:rsidRPr="00B125D5" w:rsidTr="00B125D5">
        <w:trPr>
          <w:jc w:val="center"/>
        </w:trPr>
        <w:tc>
          <w:tcPr>
            <w:tcW w:w="1920"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1-34</w:t>
            </w:r>
          </w:p>
        </w:tc>
        <w:tc>
          <w:tcPr>
            <w:tcW w:w="2724" w:type="dxa"/>
            <w:tcBorders>
              <w:top w:val="single" w:sz="4" w:space="0" w:color="auto"/>
              <w:left w:val="single" w:sz="4" w:space="0" w:color="auto"/>
              <w:bottom w:val="single" w:sz="4" w:space="0" w:color="auto"/>
              <w:right w:val="single" w:sz="4" w:space="0" w:color="auto"/>
            </w:tcBorders>
            <w:hideMark/>
          </w:tcPr>
          <w:p w:rsidR="00B125D5" w:rsidRPr="00B125D5" w:rsidRDefault="00B125D5">
            <w:pPr>
              <w:jc w:val="center"/>
              <w:rPr>
                <w:rFonts w:ascii="Times New Roman" w:eastAsia="Calibri" w:hAnsi="Times New Roman" w:cs="Times New Roman"/>
              </w:rPr>
            </w:pPr>
            <w:r w:rsidRPr="00B125D5">
              <w:rPr>
                <w:rFonts w:ascii="Times New Roman" w:eastAsia="Calibri" w:hAnsi="Times New Roman" w:cs="Times New Roman"/>
              </w:rPr>
              <w:t>F (незадовільно з обов’язковим повторним курсом)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5D5" w:rsidRPr="00B125D5" w:rsidRDefault="00B125D5">
            <w:pPr>
              <w:widowControl/>
              <w:rPr>
                <w:rFonts w:ascii="Times New Roman" w:eastAsia="Calibri" w:hAnsi="Times New Roman" w:cs="Times New Roman"/>
              </w:rPr>
            </w:pPr>
          </w:p>
        </w:tc>
      </w:tr>
    </w:tbl>
    <w:p w:rsidR="00B125D5" w:rsidRPr="00B125D5" w:rsidRDefault="00B125D5" w:rsidP="00B125D5">
      <w:pPr>
        <w:pStyle w:val="1"/>
        <w:shd w:val="clear" w:color="auto" w:fill="auto"/>
        <w:jc w:val="center"/>
        <w:rPr>
          <w:b/>
          <w:bCs/>
          <w:lang w:val="uk-UA" w:eastAsia="uk-UA" w:bidi="uk-UA"/>
        </w:rPr>
      </w:pPr>
    </w:p>
    <w:p w:rsidR="00B125D5" w:rsidRPr="00B125D5" w:rsidRDefault="00B125D5" w:rsidP="00B125D5">
      <w:pPr>
        <w:pStyle w:val="1"/>
        <w:numPr>
          <w:ilvl w:val="0"/>
          <w:numId w:val="1"/>
        </w:numPr>
        <w:shd w:val="clear" w:color="auto" w:fill="auto"/>
        <w:tabs>
          <w:tab w:val="left" w:pos="1109"/>
        </w:tabs>
        <w:ind w:firstLine="720"/>
        <w:jc w:val="both"/>
        <w:rPr>
          <w:b/>
          <w:bCs/>
          <w:lang w:val="uk-UA"/>
        </w:rPr>
      </w:pPr>
      <w:r w:rsidRPr="00B125D5">
        <w:rPr>
          <w:b/>
          <w:bCs/>
          <w:lang w:val="uk-UA"/>
        </w:rPr>
        <w:t>Критерії оцінювання  складових поточного контролю навчальної діяльності студента</w:t>
      </w:r>
    </w:p>
    <w:p w:rsidR="00B125D5" w:rsidRPr="00B125D5" w:rsidRDefault="00B125D5" w:rsidP="00B125D5">
      <w:pPr>
        <w:shd w:val="clear" w:color="auto" w:fill="FFFFFF"/>
        <w:ind w:left="284" w:right="1" w:firstLine="567"/>
        <w:jc w:val="both"/>
        <w:rPr>
          <w:rFonts w:ascii="Times New Roman" w:hAnsi="Times New Roman" w:cs="Times New Roman"/>
          <w:sz w:val="28"/>
          <w:szCs w:val="28"/>
        </w:rPr>
      </w:pPr>
      <w:r w:rsidRPr="00B125D5">
        <w:rPr>
          <w:rFonts w:ascii="Times New Roman" w:hAnsi="Times New Roman" w:cs="Times New Roman"/>
          <w:sz w:val="28"/>
          <w:szCs w:val="28"/>
        </w:rPr>
        <w:t xml:space="preserve"> Компетенції (знання, уміння та навички), продемонстровані на навчальних заняттях (практичних, семінарських, лабораторних, враховуючи знання з тем, що виносяться на самостійне опрацювання) оцінюються за 100-бальною системою.</w:t>
      </w:r>
    </w:p>
    <w:p w:rsidR="00B125D5" w:rsidRPr="00B125D5" w:rsidRDefault="00B125D5" w:rsidP="00B125D5">
      <w:pPr>
        <w:ind w:left="851"/>
        <w:jc w:val="both"/>
        <w:rPr>
          <w:rFonts w:ascii="Times New Roman" w:eastAsia="Times New Roman" w:hAnsi="Times New Roman" w:cs="Times New Roman"/>
          <w:sz w:val="28"/>
          <w:szCs w:val="28"/>
          <w:lang w:eastAsia="ru-RU"/>
        </w:rPr>
      </w:pPr>
    </w:p>
    <w:tbl>
      <w:tblPr>
        <w:tblW w:w="4800" w:type="pct"/>
        <w:tblInd w:w="250" w:type="dxa"/>
        <w:tblLayout w:type="fixed"/>
        <w:tblLook w:val="04A0"/>
      </w:tblPr>
      <w:tblGrid>
        <w:gridCol w:w="1475"/>
        <w:gridCol w:w="7713"/>
      </w:tblGrid>
      <w:tr w:rsidR="00B125D5" w:rsidRPr="00B125D5" w:rsidTr="00B125D5">
        <w:trPr>
          <w:tblHeader/>
        </w:trPr>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b/>
                <w:bCs/>
                <w:spacing w:val="-10"/>
                <w:sz w:val="18"/>
                <w:szCs w:val="18"/>
                <w:lang w:eastAsia="ru-RU"/>
              </w:rPr>
            </w:pPr>
            <w:r w:rsidRPr="00B125D5">
              <w:rPr>
                <w:rFonts w:ascii="Times New Roman" w:eastAsia="Times New Roman" w:hAnsi="Times New Roman" w:cs="Times New Roman"/>
                <w:b/>
                <w:bCs/>
                <w:spacing w:val="-10"/>
                <w:sz w:val="18"/>
                <w:szCs w:val="18"/>
                <w:lang w:eastAsia="ru-RU"/>
              </w:rPr>
              <w:t xml:space="preserve">Оцінка в балах </w:t>
            </w:r>
          </w:p>
          <w:p w:rsidR="00B125D5" w:rsidRPr="00B125D5" w:rsidRDefault="00B125D5">
            <w:pPr>
              <w:widowControl/>
              <w:snapToGrid w:val="0"/>
              <w:jc w:val="center"/>
              <w:rPr>
                <w:rFonts w:ascii="Times New Roman" w:eastAsia="Times New Roman" w:hAnsi="Times New Roman" w:cs="Times New Roman"/>
                <w:b/>
                <w:bCs/>
                <w:spacing w:val="-10"/>
                <w:sz w:val="18"/>
                <w:szCs w:val="18"/>
                <w:lang w:eastAsia="ru-RU"/>
              </w:rPr>
            </w:pPr>
            <w:r w:rsidRPr="00B125D5">
              <w:rPr>
                <w:rFonts w:ascii="Times New Roman" w:eastAsia="Times New Roman" w:hAnsi="Times New Roman" w:cs="Times New Roman"/>
                <w:b/>
                <w:bCs/>
                <w:spacing w:val="-10"/>
                <w:sz w:val="18"/>
                <w:szCs w:val="18"/>
                <w:lang w:eastAsia="ru-RU"/>
              </w:rPr>
              <w:t>(за 100-бальною шкалою) за всі види навчальної діяльності</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center"/>
              <w:rPr>
                <w:rFonts w:ascii="Times New Roman" w:eastAsia="Times New Roman" w:hAnsi="Times New Roman" w:cs="Times New Roman"/>
                <w:b/>
                <w:bCs/>
                <w:lang w:eastAsia="ru-RU"/>
              </w:rPr>
            </w:pPr>
            <w:r w:rsidRPr="00B125D5">
              <w:rPr>
                <w:rFonts w:ascii="Times New Roman" w:eastAsia="Times New Roman" w:hAnsi="Times New Roman" w:cs="Times New Roman"/>
                <w:b/>
                <w:bCs/>
                <w:lang w:eastAsia="ru-RU"/>
              </w:rPr>
              <w:t>Критерії оцінювання</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98-100</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94-97</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90-93</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 xml:space="preserve">Студент володіє глибокими і міцними знаннями та використовує їх у </w:t>
            </w:r>
            <w:r w:rsidRPr="00B125D5">
              <w:rPr>
                <w:rFonts w:ascii="Times New Roman" w:eastAsia="Times New Roman" w:hAnsi="Times New Roman" w:cs="Times New Roman"/>
                <w:lang w:eastAsia="ru-RU"/>
              </w:rPr>
              <w:lastRenderedPageBreak/>
              <w:t>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lastRenderedPageBreak/>
              <w:t>86-89</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81-85</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75-80</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70-74</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65-69</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60-64</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володіє початковими знаннями, здатний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50-59</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Студент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35-49</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 xml:space="preserve">Студент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w:t>
            </w:r>
            <w:proofErr w:type="spellStart"/>
            <w:r w:rsidRPr="00B125D5">
              <w:rPr>
                <w:rFonts w:ascii="Times New Roman" w:eastAsia="Times New Roman" w:hAnsi="Times New Roman" w:cs="Times New Roman"/>
                <w:lang w:eastAsia="ru-RU"/>
              </w:rPr>
              <w:t>„так”</w:t>
            </w:r>
            <w:proofErr w:type="spellEnd"/>
            <w:r w:rsidRPr="00B125D5">
              <w:rPr>
                <w:rFonts w:ascii="Times New Roman" w:eastAsia="Times New Roman" w:hAnsi="Times New Roman" w:cs="Times New Roman"/>
                <w:lang w:eastAsia="ru-RU"/>
              </w:rPr>
              <w:t xml:space="preserve"> чи </w:t>
            </w:r>
            <w:proofErr w:type="spellStart"/>
            <w:r w:rsidRPr="00B125D5">
              <w:rPr>
                <w:rFonts w:ascii="Times New Roman" w:eastAsia="Times New Roman" w:hAnsi="Times New Roman" w:cs="Times New Roman"/>
                <w:lang w:eastAsia="ru-RU"/>
              </w:rPr>
              <w:t>„ні”</w:t>
            </w:r>
            <w:proofErr w:type="spellEnd"/>
            <w:r w:rsidRPr="00B125D5">
              <w:rPr>
                <w:rFonts w:ascii="Times New Roman" w:eastAsia="Times New Roman" w:hAnsi="Times New Roman" w:cs="Times New Roman"/>
                <w:lang w:eastAsia="ru-RU"/>
              </w:rPr>
              <w:t>; може самостійно знайти  в підручнику відповідь.</w:t>
            </w:r>
          </w:p>
        </w:tc>
      </w:tr>
      <w:tr w:rsidR="00B125D5" w:rsidRPr="00B125D5" w:rsidTr="00B125D5">
        <w:tc>
          <w:tcPr>
            <w:tcW w:w="1559" w:type="dxa"/>
            <w:tcBorders>
              <w:top w:val="single" w:sz="4" w:space="0" w:color="000000"/>
              <w:left w:val="single" w:sz="4" w:space="0" w:color="000000"/>
              <w:bottom w:val="single" w:sz="4" w:space="0" w:color="000000"/>
              <w:right w:val="nil"/>
            </w:tcBorders>
            <w:hideMark/>
          </w:tcPr>
          <w:p w:rsidR="00B125D5" w:rsidRPr="00B125D5" w:rsidRDefault="00B125D5">
            <w:pPr>
              <w:widowControl/>
              <w:snapToGrid w:val="0"/>
              <w:jc w:val="center"/>
              <w:rPr>
                <w:rFonts w:ascii="Times New Roman" w:eastAsia="Times New Roman" w:hAnsi="Times New Roman" w:cs="Times New Roman"/>
                <w:lang w:eastAsia="ru-RU"/>
              </w:rPr>
            </w:pPr>
            <w:r w:rsidRPr="00B125D5">
              <w:rPr>
                <w:rFonts w:ascii="Times New Roman" w:eastAsia="Times New Roman" w:hAnsi="Times New Roman" w:cs="Times New Roman"/>
                <w:lang w:eastAsia="ru-RU"/>
              </w:rPr>
              <w:lastRenderedPageBreak/>
              <w:t>1-34</w:t>
            </w:r>
          </w:p>
        </w:tc>
        <w:tc>
          <w:tcPr>
            <w:tcW w:w="8222" w:type="dxa"/>
            <w:tcBorders>
              <w:top w:val="single" w:sz="4" w:space="0" w:color="000000"/>
              <w:left w:val="single" w:sz="4" w:space="0" w:color="000000"/>
              <w:bottom w:val="single" w:sz="4" w:space="0" w:color="000000"/>
              <w:right w:val="single" w:sz="4" w:space="0" w:color="000000"/>
            </w:tcBorders>
            <w:hideMark/>
          </w:tcPr>
          <w:p w:rsidR="00B125D5" w:rsidRPr="00B125D5" w:rsidRDefault="00B125D5">
            <w:pPr>
              <w:widowControl/>
              <w:snapToGrid w:val="0"/>
              <w:jc w:val="both"/>
              <w:rPr>
                <w:rFonts w:ascii="Times New Roman" w:eastAsia="Times New Roman" w:hAnsi="Times New Roman" w:cs="Times New Roman"/>
                <w:lang w:eastAsia="ru-RU"/>
              </w:rPr>
            </w:pPr>
            <w:r w:rsidRPr="00B125D5">
              <w:rPr>
                <w:rFonts w:ascii="Times New Roman" w:eastAsia="Times New Roman" w:hAnsi="Times New Roman" w:cs="Times New Roman"/>
                <w:lang w:eastAsia="ru-RU"/>
              </w:rPr>
              <w:t xml:space="preserve">Студент володіє навчальним матеріалом на рівні засвоєння окремих термінів, фактів без зв’язку між ними: відповідає на запитання, які потребують  відповіді </w:t>
            </w:r>
            <w:proofErr w:type="spellStart"/>
            <w:r w:rsidRPr="00B125D5">
              <w:rPr>
                <w:rFonts w:ascii="Times New Roman" w:eastAsia="Times New Roman" w:hAnsi="Times New Roman" w:cs="Times New Roman"/>
                <w:lang w:eastAsia="ru-RU"/>
              </w:rPr>
              <w:t>„так”</w:t>
            </w:r>
            <w:proofErr w:type="spellEnd"/>
            <w:r w:rsidRPr="00B125D5">
              <w:rPr>
                <w:rFonts w:ascii="Times New Roman" w:eastAsia="Times New Roman" w:hAnsi="Times New Roman" w:cs="Times New Roman"/>
                <w:lang w:eastAsia="ru-RU"/>
              </w:rPr>
              <w:t xml:space="preserve"> чи </w:t>
            </w:r>
            <w:proofErr w:type="spellStart"/>
            <w:r w:rsidRPr="00B125D5">
              <w:rPr>
                <w:rFonts w:ascii="Times New Roman" w:eastAsia="Times New Roman" w:hAnsi="Times New Roman" w:cs="Times New Roman"/>
                <w:lang w:eastAsia="ru-RU"/>
              </w:rPr>
              <w:t>„ні”</w:t>
            </w:r>
            <w:proofErr w:type="spellEnd"/>
            <w:r w:rsidRPr="00B125D5">
              <w:rPr>
                <w:rFonts w:ascii="Times New Roman" w:eastAsia="Times New Roman" w:hAnsi="Times New Roman" w:cs="Times New Roman"/>
                <w:lang w:eastAsia="ru-RU"/>
              </w:rPr>
              <w:t>.</w:t>
            </w:r>
          </w:p>
        </w:tc>
      </w:tr>
    </w:tbl>
    <w:p w:rsidR="00B125D5" w:rsidRPr="00B125D5" w:rsidRDefault="00B125D5" w:rsidP="00B125D5">
      <w:pPr>
        <w:ind w:left="851"/>
        <w:jc w:val="both"/>
        <w:rPr>
          <w:rFonts w:ascii="Times New Roman" w:eastAsia="Times New Roman" w:hAnsi="Times New Roman" w:cs="Times New Roman"/>
          <w:sz w:val="28"/>
          <w:szCs w:val="28"/>
          <w:lang w:eastAsia="ru-RU"/>
        </w:rPr>
      </w:pPr>
    </w:p>
    <w:p w:rsidR="00B125D5" w:rsidRPr="00B125D5" w:rsidRDefault="00B125D5" w:rsidP="00B125D5">
      <w:pPr>
        <w:shd w:val="clear" w:color="auto" w:fill="FFFFFF"/>
        <w:ind w:left="284" w:right="1" w:firstLine="567"/>
        <w:jc w:val="both"/>
        <w:rPr>
          <w:rFonts w:ascii="Times New Roman" w:hAnsi="Times New Roman" w:cs="Times New Roman"/>
          <w:sz w:val="28"/>
          <w:szCs w:val="28"/>
        </w:rPr>
      </w:pPr>
      <w:r w:rsidRPr="00B125D5">
        <w:rPr>
          <w:rFonts w:ascii="Times New Roman" w:hAnsi="Times New Roman" w:cs="Times New Roman"/>
          <w:sz w:val="28"/>
          <w:szCs w:val="28"/>
        </w:rPr>
        <w:t>Оцінювання модульних  контрольних робіт  здійснюється за 100-бальною системою.</w:t>
      </w:r>
    </w:p>
    <w:p w:rsidR="00BF481B" w:rsidRDefault="00B125D5" w:rsidP="00BF481B">
      <w:pPr>
        <w:shd w:val="clear" w:color="auto" w:fill="FFFFFF"/>
        <w:ind w:left="284" w:right="1" w:firstLine="567"/>
        <w:jc w:val="both"/>
        <w:rPr>
          <w:rFonts w:ascii="Times New Roman" w:hAnsi="Times New Roman" w:cs="Times New Roman"/>
          <w:sz w:val="28"/>
          <w:szCs w:val="28"/>
        </w:rPr>
      </w:pPr>
      <w:r w:rsidRPr="00B125D5">
        <w:rPr>
          <w:rFonts w:ascii="Times New Roman" w:hAnsi="Times New Roman" w:cs="Times New Roman"/>
          <w:sz w:val="28"/>
          <w:szCs w:val="28"/>
        </w:rPr>
        <w:t>Оцінювання захист  навчального матеріалу, що виноситься на самостійне вивчення для студентів заочної форми навчання  здійснюється за 100-бальною системою.</w:t>
      </w:r>
    </w:p>
    <w:p w:rsidR="00BF481B" w:rsidRPr="00BF481B" w:rsidRDefault="00BF481B" w:rsidP="00BF481B">
      <w:pPr>
        <w:pStyle w:val="1"/>
        <w:keepNext/>
        <w:keepLines/>
        <w:numPr>
          <w:ilvl w:val="0"/>
          <w:numId w:val="1"/>
        </w:numPr>
        <w:shd w:val="clear" w:color="auto" w:fill="auto"/>
        <w:tabs>
          <w:tab w:val="left" w:pos="284"/>
        </w:tabs>
        <w:jc w:val="center"/>
        <w:rPr>
          <w:b/>
          <w:bCs/>
          <w:lang w:val="uk-UA"/>
        </w:rPr>
      </w:pPr>
      <w:r w:rsidRPr="00BF481B">
        <w:rPr>
          <w:b/>
          <w:lang w:val="uk-UA"/>
        </w:rPr>
        <w:lastRenderedPageBreak/>
        <w:t>ЛІТЕРАТУРА</w:t>
      </w:r>
      <w:bookmarkStart w:id="0" w:name="bookmark1"/>
      <w:bookmarkStart w:id="1" w:name="bookmark0"/>
    </w:p>
    <w:p w:rsidR="00BF481B" w:rsidRPr="00BF481B" w:rsidRDefault="00BF481B" w:rsidP="00BF481B">
      <w:pPr>
        <w:pStyle w:val="1"/>
        <w:keepNext/>
        <w:keepLines/>
        <w:shd w:val="clear" w:color="auto" w:fill="auto"/>
        <w:tabs>
          <w:tab w:val="left" w:pos="284"/>
        </w:tabs>
        <w:jc w:val="center"/>
        <w:rPr>
          <w:b/>
          <w:bCs/>
          <w:i/>
          <w:lang w:val="uk-UA"/>
        </w:rPr>
      </w:pPr>
      <w:r w:rsidRPr="00BF481B">
        <w:rPr>
          <w:b/>
          <w:i/>
          <w:lang w:val="uk-UA" w:eastAsia="ru-RU" w:bidi="ru-RU"/>
        </w:rPr>
        <w:t xml:space="preserve">Основна </w:t>
      </w:r>
      <w:r w:rsidRPr="00BF481B">
        <w:rPr>
          <w:b/>
          <w:i/>
          <w:lang w:val="uk-UA"/>
        </w:rPr>
        <w:t>література</w:t>
      </w:r>
      <w:bookmarkEnd w:id="0"/>
      <w:bookmarkEnd w:id="1"/>
    </w:p>
    <w:p w:rsidR="00BF481B" w:rsidRPr="00441FBF" w:rsidRDefault="00BF481B" w:rsidP="00BF481B">
      <w:pPr>
        <w:pStyle w:val="11"/>
        <w:keepNext/>
        <w:keepLines/>
        <w:numPr>
          <w:ilvl w:val="0"/>
          <w:numId w:val="4"/>
        </w:numPr>
        <w:shd w:val="clear" w:color="auto" w:fill="auto"/>
        <w:spacing w:line="240" w:lineRule="auto"/>
        <w:ind w:left="0" w:firstLine="567"/>
        <w:jc w:val="both"/>
        <w:rPr>
          <w:b w:val="0"/>
          <w:lang w:val="uk-UA"/>
        </w:rPr>
      </w:pPr>
      <w:bookmarkStart w:id="2" w:name="bookmark3"/>
      <w:bookmarkStart w:id="3" w:name="bookmark2"/>
      <w:r w:rsidRPr="00441FBF">
        <w:rPr>
          <w:b w:val="0"/>
          <w:lang w:val="uk-UA"/>
        </w:rPr>
        <w:t xml:space="preserve">Європейська економічна інтеграція: навчальний посібник / С.М. Кваша, О.М. </w:t>
      </w:r>
      <w:proofErr w:type="spellStart"/>
      <w:r w:rsidRPr="00441FBF">
        <w:rPr>
          <w:b w:val="0"/>
          <w:lang w:val="uk-UA"/>
        </w:rPr>
        <w:t>Файчук</w:t>
      </w:r>
      <w:proofErr w:type="spellEnd"/>
      <w:r w:rsidRPr="00441FBF">
        <w:rPr>
          <w:b w:val="0"/>
          <w:lang w:val="uk-UA"/>
        </w:rPr>
        <w:t xml:space="preserve">, О.В. </w:t>
      </w:r>
      <w:proofErr w:type="spellStart"/>
      <w:r w:rsidRPr="00441FBF">
        <w:rPr>
          <w:b w:val="0"/>
          <w:lang w:val="uk-UA"/>
        </w:rPr>
        <w:t>Файчук</w:t>
      </w:r>
      <w:proofErr w:type="spellEnd"/>
      <w:r w:rsidRPr="00441FBF">
        <w:rPr>
          <w:b w:val="0"/>
          <w:lang w:val="uk-UA"/>
        </w:rPr>
        <w:t xml:space="preserve">. К.: </w:t>
      </w:r>
      <w:proofErr w:type="spellStart"/>
      <w:r w:rsidRPr="00441FBF">
        <w:rPr>
          <w:b w:val="0"/>
          <w:lang w:val="uk-UA"/>
        </w:rPr>
        <w:t>НУБіП</w:t>
      </w:r>
      <w:proofErr w:type="spellEnd"/>
      <w:r w:rsidRPr="00441FBF">
        <w:rPr>
          <w:b w:val="0"/>
          <w:lang w:val="uk-UA"/>
        </w:rPr>
        <w:t xml:space="preserve"> України, 2019. 282 с. </w:t>
      </w:r>
    </w:p>
    <w:p w:rsidR="00BF481B" w:rsidRPr="00441FBF" w:rsidRDefault="00BF481B" w:rsidP="00BF481B">
      <w:pPr>
        <w:pStyle w:val="11"/>
        <w:keepNext/>
        <w:keepLines/>
        <w:numPr>
          <w:ilvl w:val="0"/>
          <w:numId w:val="4"/>
        </w:numPr>
        <w:shd w:val="clear" w:color="auto" w:fill="auto"/>
        <w:spacing w:line="240" w:lineRule="auto"/>
        <w:ind w:left="0" w:firstLine="567"/>
        <w:jc w:val="both"/>
        <w:rPr>
          <w:b w:val="0"/>
          <w:lang w:val="uk-UA"/>
        </w:rPr>
      </w:pPr>
      <w:r w:rsidRPr="00441FBF">
        <w:rPr>
          <w:b w:val="0"/>
          <w:lang w:val="uk-UA"/>
        </w:rPr>
        <w:t>Аграрний сектор України на шлях</w:t>
      </w:r>
      <w:r>
        <w:rPr>
          <w:b w:val="0"/>
          <w:lang w:val="uk-UA"/>
        </w:rPr>
        <w:t>у до євроінтеграції: монографія</w:t>
      </w:r>
      <w:r w:rsidRPr="00441FBF">
        <w:rPr>
          <w:b w:val="0"/>
          <w:lang w:val="uk-UA"/>
        </w:rPr>
        <w:t xml:space="preserve">/ Авт. </w:t>
      </w:r>
      <w:proofErr w:type="spellStart"/>
      <w:r w:rsidRPr="00441FBF">
        <w:rPr>
          <w:b w:val="0"/>
          <w:lang w:val="uk-UA"/>
        </w:rPr>
        <w:t>кол</w:t>
      </w:r>
      <w:proofErr w:type="spellEnd"/>
      <w:r w:rsidRPr="00441FBF">
        <w:rPr>
          <w:b w:val="0"/>
          <w:lang w:val="uk-UA"/>
        </w:rPr>
        <w:t xml:space="preserve">.: </w:t>
      </w:r>
      <w:proofErr w:type="spellStart"/>
      <w:r w:rsidRPr="00441FBF">
        <w:rPr>
          <w:b w:val="0"/>
          <w:lang w:val="uk-UA"/>
        </w:rPr>
        <w:t>Бетлій</w:t>
      </w:r>
      <w:proofErr w:type="spellEnd"/>
      <w:r w:rsidRPr="00441FBF">
        <w:rPr>
          <w:b w:val="0"/>
          <w:lang w:val="uk-UA"/>
        </w:rPr>
        <w:t xml:space="preserve"> М. та ін.; За ред. О.М. Бородіної. Ужгород: ІВА, 2006. 496 с. </w:t>
      </w:r>
    </w:p>
    <w:p w:rsidR="00BF481B" w:rsidRPr="00441FBF" w:rsidRDefault="00BF481B" w:rsidP="00BF481B">
      <w:pPr>
        <w:pStyle w:val="11"/>
        <w:keepNext/>
        <w:keepLines/>
        <w:numPr>
          <w:ilvl w:val="0"/>
          <w:numId w:val="4"/>
        </w:numPr>
        <w:shd w:val="clear" w:color="auto" w:fill="auto"/>
        <w:spacing w:line="240" w:lineRule="auto"/>
        <w:ind w:left="0" w:firstLine="567"/>
        <w:jc w:val="both"/>
        <w:rPr>
          <w:b w:val="0"/>
          <w:lang w:val="uk-UA"/>
        </w:rPr>
      </w:pPr>
      <w:proofErr w:type="spellStart"/>
      <w:r w:rsidRPr="00441FBF">
        <w:rPr>
          <w:b w:val="0"/>
          <w:lang w:val="uk-UA"/>
        </w:rPr>
        <w:t>European</w:t>
      </w:r>
      <w:proofErr w:type="spellEnd"/>
      <w:r w:rsidRPr="00441FBF">
        <w:rPr>
          <w:b w:val="0"/>
          <w:lang w:val="uk-UA"/>
        </w:rPr>
        <w:t xml:space="preserve"> </w:t>
      </w:r>
      <w:proofErr w:type="spellStart"/>
      <w:r w:rsidRPr="00441FBF">
        <w:rPr>
          <w:b w:val="0"/>
          <w:lang w:val="uk-UA"/>
        </w:rPr>
        <w:t>Principles</w:t>
      </w:r>
      <w:proofErr w:type="spellEnd"/>
      <w:r w:rsidRPr="00441FBF">
        <w:rPr>
          <w:b w:val="0"/>
          <w:lang w:val="uk-UA"/>
        </w:rPr>
        <w:t xml:space="preserve"> </w:t>
      </w:r>
      <w:proofErr w:type="spellStart"/>
      <w:r w:rsidRPr="00441FBF">
        <w:rPr>
          <w:b w:val="0"/>
          <w:lang w:val="uk-UA"/>
        </w:rPr>
        <w:t>for</w:t>
      </w:r>
      <w:proofErr w:type="spellEnd"/>
      <w:r w:rsidRPr="00441FBF">
        <w:rPr>
          <w:b w:val="0"/>
          <w:lang w:val="uk-UA"/>
        </w:rPr>
        <w:t xml:space="preserve"> </w:t>
      </w:r>
      <w:proofErr w:type="spellStart"/>
      <w:r w:rsidRPr="00441FBF">
        <w:rPr>
          <w:b w:val="0"/>
          <w:lang w:val="uk-UA"/>
        </w:rPr>
        <w:t>Public</w:t>
      </w:r>
      <w:proofErr w:type="spellEnd"/>
      <w:r w:rsidRPr="00441FBF">
        <w:rPr>
          <w:b w:val="0"/>
          <w:lang w:val="uk-UA"/>
        </w:rPr>
        <w:t xml:space="preserve"> </w:t>
      </w:r>
      <w:proofErr w:type="spellStart"/>
      <w:r w:rsidRPr="00441FBF">
        <w:rPr>
          <w:b w:val="0"/>
          <w:lang w:val="uk-UA"/>
        </w:rPr>
        <w:t>Administration</w:t>
      </w:r>
      <w:proofErr w:type="spellEnd"/>
      <w:r w:rsidRPr="00441FBF">
        <w:rPr>
          <w:b w:val="0"/>
          <w:lang w:val="uk-UA"/>
        </w:rPr>
        <w:t xml:space="preserve">. https://www.oecdilibrary.org/governance/european-principles-for-publicadministration_5kml60zwdr7h-en </w:t>
      </w:r>
    </w:p>
    <w:p w:rsidR="00BF481B" w:rsidRPr="00441FBF" w:rsidRDefault="00BF481B" w:rsidP="00BF481B">
      <w:pPr>
        <w:pStyle w:val="11"/>
        <w:keepNext/>
        <w:keepLines/>
        <w:numPr>
          <w:ilvl w:val="0"/>
          <w:numId w:val="4"/>
        </w:numPr>
        <w:shd w:val="clear" w:color="auto" w:fill="auto"/>
        <w:spacing w:line="240" w:lineRule="auto"/>
        <w:ind w:left="0" w:firstLine="567"/>
        <w:jc w:val="both"/>
        <w:rPr>
          <w:b w:val="0"/>
          <w:lang w:val="uk-UA"/>
        </w:rPr>
      </w:pPr>
      <w:proofErr w:type="spellStart"/>
      <w:r w:rsidRPr="00441FBF">
        <w:rPr>
          <w:b w:val="0"/>
          <w:lang w:val="uk-UA"/>
        </w:rPr>
        <w:t>Oręziak</w:t>
      </w:r>
      <w:proofErr w:type="spellEnd"/>
      <w:r w:rsidRPr="00441FBF">
        <w:rPr>
          <w:b w:val="0"/>
          <w:lang w:val="uk-UA"/>
        </w:rPr>
        <w:t xml:space="preserve"> L. </w:t>
      </w:r>
      <w:proofErr w:type="spellStart"/>
      <w:r w:rsidRPr="00441FBF">
        <w:rPr>
          <w:b w:val="0"/>
          <w:lang w:val="uk-UA"/>
        </w:rPr>
        <w:t>Finanse</w:t>
      </w:r>
      <w:proofErr w:type="spellEnd"/>
      <w:r w:rsidRPr="00441FBF">
        <w:rPr>
          <w:b w:val="0"/>
          <w:lang w:val="uk-UA"/>
        </w:rPr>
        <w:t xml:space="preserve"> </w:t>
      </w:r>
      <w:proofErr w:type="spellStart"/>
      <w:r w:rsidRPr="00441FBF">
        <w:rPr>
          <w:b w:val="0"/>
          <w:lang w:val="uk-UA"/>
        </w:rPr>
        <w:t>Unii</w:t>
      </w:r>
      <w:proofErr w:type="spellEnd"/>
      <w:r w:rsidRPr="00441FBF">
        <w:rPr>
          <w:b w:val="0"/>
          <w:lang w:val="uk-UA"/>
        </w:rPr>
        <w:t xml:space="preserve"> </w:t>
      </w:r>
      <w:proofErr w:type="spellStart"/>
      <w:r w:rsidRPr="00441FBF">
        <w:rPr>
          <w:b w:val="0"/>
          <w:lang w:val="uk-UA"/>
        </w:rPr>
        <w:t>Europejskiej</w:t>
      </w:r>
      <w:proofErr w:type="spellEnd"/>
      <w:r w:rsidRPr="00441FBF">
        <w:rPr>
          <w:b w:val="0"/>
          <w:lang w:val="uk-UA"/>
        </w:rPr>
        <w:t xml:space="preserve"> i </w:t>
      </w:r>
      <w:proofErr w:type="spellStart"/>
      <w:r w:rsidRPr="00441FBF">
        <w:rPr>
          <w:b w:val="0"/>
          <w:lang w:val="uk-UA"/>
        </w:rPr>
        <w:t>strefy</w:t>
      </w:r>
      <w:proofErr w:type="spellEnd"/>
      <w:r w:rsidRPr="00441FBF">
        <w:rPr>
          <w:b w:val="0"/>
          <w:lang w:val="uk-UA"/>
        </w:rPr>
        <w:t xml:space="preserve"> </w:t>
      </w:r>
      <w:proofErr w:type="spellStart"/>
      <w:r w:rsidRPr="00441FBF">
        <w:rPr>
          <w:b w:val="0"/>
          <w:lang w:val="uk-UA"/>
        </w:rPr>
        <w:t>euro</w:t>
      </w:r>
      <w:proofErr w:type="spellEnd"/>
      <w:r w:rsidRPr="00441FBF">
        <w:rPr>
          <w:b w:val="0"/>
          <w:lang w:val="uk-UA"/>
        </w:rPr>
        <w:t>. (</w:t>
      </w:r>
      <w:proofErr w:type="spellStart"/>
      <w:r w:rsidRPr="00441FBF">
        <w:rPr>
          <w:b w:val="0"/>
          <w:lang w:val="uk-UA"/>
        </w:rPr>
        <w:t>eBook</w:t>
      </w:r>
      <w:proofErr w:type="spellEnd"/>
      <w:r w:rsidRPr="00441FBF">
        <w:rPr>
          <w:b w:val="0"/>
          <w:lang w:val="uk-UA"/>
        </w:rPr>
        <w:t xml:space="preserve">). </w:t>
      </w:r>
      <w:proofErr w:type="spellStart"/>
      <w:r w:rsidRPr="00441FBF">
        <w:rPr>
          <w:b w:val="0"/>
          <w:lang w:val="uk-UA"/>
        </w:rPr>
        <w:t>Wydawca</w:t>
      </w:r>
      <w:proofErr w:type="spellEnd"/>
      <w:r w:rsidRPr="00441FBF">
        <w:rPr>
          <w:b w:val="0"/>
          <w:lang w:val="uk-UA"/>
        </w:rPr>
        <w:t xml:space="preserve">: </w:t>
      </w:r>
      <w:proofErr w:type="spellStart"/>
      <w:r w:rsidRPr="00441FBF">
        <w:rPr>
          <w:b w:val="0"/>
          <w:lang w:val="uk-UA"/>
        </w:rPr>
        <w:t>Szkoła</w:t>
      </w:r>
      <w:proofErr w:type="spellEnd"/>
      <w:r w:rsidRPr="00441FBF">
        <w:rPr>
          <w:b w:val="0"/>
          <w:lang w:val="uk-UA"/>
        </w:rPr>
        <w:t xml:space="preserve"> </w:t>
      </w:r>
      <w:proofErr w:type="spellStart"/>
      <w:r w:rsidRPr="00441FBF">
        <w:rPr>
          <w:b w:val="0"/>
          <w:lang w:val="uk-UA"/>
        </w:rPr>
        <w:t>Główna</w:t>
      </w:r>
      <w:proofErr w:type="spellEnd"/>
      <w:r w:rsidRPr="00441FBF">
        <w:rPr>
          <w:b w:val="0"/>
          <w:lang w:val="uk-UA"/>
        </w:rPr>
        <w:t xml:space="preserve"> </w:t>
      </w:r>
      <w:proofErr w:type="spellStart"/>
      <w:r w:rsidRPr="00441FBF">
        <w:rPr>
          <w:b w:val="0"/>
          <w:lang w:val="uk-UA"/>
        </w:rPr>
        <w:t>Handlowa</w:t>
      </w:r>
      <w:proofErr w:type="spellEnd"/>
      <w:r w:rsidRPr="00441FBF">
        <w:rPr>
          <w:b w:val="0"/>
          <w:lang w:val="uk-UA"/>
        </w:rPr>
        <w:t xml:space="preserve">, 217 с. </w:t>
      </w:r>
    </w:p>
    <w:p w:rsidR="00BF481B" w:rsidRPr="00441FBF" w:rsidRDefault="00BF481B" w:rsidP="00BF481B">
      <w:pPr>
        <w:pStyle w:val="11"/>
        <w:keepNext/>
        <w:keepLines/>
        <w:numPr>
          <w:ilvl w:val="0"/>
          <w:numId w:val="4"/>
        </w:numPr>
        <w:shd w:val="clear" w:color="auto" w:fill="auto"/>
        <w:spacing w:line="240" w:lineRule="auto"/>
        <w:ind w:left="0" w:firstLine="567"/>
        <w:jc w:val="both"/>
        <w:rPr>
          <w:b w:val="0"/>
          <w:lang w:val="uk-UA"/>
        </w:rPr>
      </w:pPr>
      <w:r w:rsidRPr="00441FBF">
        <w:rPr>
          <w:b w:val="0"/>
          <w:lang w:val="uk-UA"/>
        </w:rPr>
        <w:t xml:space="preserve">Havlikowska-Hueckel K., Zielinska-Glebocka A. </w:t>
      </w:r>
      <w:proofErr w:type="spellStart"/>
      <w:r w:rsidRPr="00441FBF">
        <w:rPr>
          <w:b w:val="0"/>
          <w:lang w:val="uk-UA"/>
        </w:rPr>
        <w:t>Europejska</w:t>
      </w:r>
      <w:proofErr w:type="spellEnd"/>
      <w:r w:rsidRPr="00441FBF">
        <w:rPr>
          <w:b w:val="0"/>
          <w:lang w:val="uk-UA"/>
        </w:rPr>
        <w:t xml:space="preserve"> </w:t>
      </w:r>
      <w:proofErr w:type="spellStart"/>
      <w:r w:rsidRPr="00441FBF">
        <w:rPr>
          <w:b w:val="0"/>
          <w:lang w:val="uk-UA"/>
        </w:rPr>
        <w:t>integracja</w:t>
      </w:r>
      <w:proofErr w:type="spellEnd"/>
      <w:r w:rsidRPr="00441FBF">
        <w:rPr>
          <w:b w:val="0"/>
          <w:lang w:val="uk-UA"/>
        </w:rPr>
        <w:t xml:space="preserve">. </w:t>
      </w:r>
      <w:proofErr w:type="spellStart"/>
      <w:r w:rsidRPr="00441FBF">
        <w:rPr>
          <w:b w:val="0"/>
          <w:lang w:val="uk-UA"/>
        </w:rPr>
        <w:t>Warszawa</w:t>
      </w:r>
      <w:proofErr w:type="spellEnd"/>
      <w:r w:rsidRPr="00441FBF">
        <w:rPr>
          <w:b w:val="0"/>
          <w:lang w:val="uk-UA"/>
        </w:rPr>
        <w:t xml:space="preserve">: </w:t>
      </w:r>
      <w:proofErr w:type="spellStart"/>
      <w:r w:rsidRPr="00441FBF">
        <w:rPr>
          <w:b w:val="0"/>
          <w:lang w:val="uk-UA"/>
        </w:rPr>
        <w:t>C.H.Beck</w:t>
      </w:r>
      <w:proofErr w:type="spellEnd"/>
      <w:r w:rsidRPr="00441FBF">
        <w:rPr>
          <w:b w:val="0"/>
          <w:lang w:val="uk-UA"/>
        </w:rPr>
        <w:t xml:space="preserve">. 2008. 437 s. </w:t>
      </w:r>
    </w:p>
    <w:p w:rsidR="00BF481B" w:rsidRPr="00441FBF" w:rsidRDefault="00BF481B" w:rsidP="00BF481B">
      <w:pPr>
        <w:pStyle w:val="11"/>
        <w:keepNext/>
        <w:keepLines/>
        <w:numPr>
          <w:ilvl w:val="0"/>
          <w:numId w:val="4"/>
        </w:numPr>
        <w:shd w:val="clear" w:color="auto" w:fill="auto"/>
        <w:spacing w:line="240" w:lineRule="auto"/>
        <w:ind w:left="0" w:firstLine="567"/>
        <w:jc w:val="both"/>
        <w:rPr>
          <w:lang w:val="uk-UA"/>
        </w:rPr>
      </w:pPr>
      <w:proofErr w:type="spellStart"/>
      <w:r w:rsidRPr="00441FBF">
        <w:rPr>
          <w:b w:val="0"/>
          <w:lang w:val="uk-UA"/>
        </w:rPr>
        <w:t>Wojtashchyk</w:t>
      </w:r>
      <w:proofErr w:type="spellEnd"/>
      <w:r w:rsidRPr="00441FBF">
        <w:rPr>
          <w:b w:val="0"/>
          <w:lang w:val="uk-UA"/>
        </w:rPr>
        <w:t xml:space="preserve"> K. </w:t>
      </w:r>
      <w:proofErr w:type="spellStart"/>
      <w:r w:rsidRPr="00441FBF">
        <w:rPr>
          <w:b w:val="0"/>
          <w:lang w:val="uk-UA"/>
        </w:rPr>
        <w:t>Europejska</w:t>
      </w:r>
      <w:proofErr w:type="spellEnd"/>
      <w:r w:rsidRPr="00441FBF">
        <w:rPr>
          <w:b w:val="0"/>
          <w:lang w:val="uk-UA"/>
        </w:rPr>
        <w:t xml:space="preserve"> </w:t>
      </w:r>
      <w:proofErr w:type="spellStart"/>
      <w:r w:rsidRPr="00441FBF">
        <w:rPr>
          <w:b w:val="0"/>
          <w:lang w:val="uk-UA"/>
        </w:rPr>
        <w:t>integracja</w:t>
      </w:r>
      <w:proofErr w:type="spellEnd"/>
      <w:r w:rsidRPr="00441FBF">
        <w:rPr>
          <w:b w:val="0"/>
          <w:lang w:val="uk-UA"/>
        </w:rPr>
        <w:t xml:space="preserve">. </w:t>
      </w:r>
      <w:proofErr w:type="spellStart"/>
      <w:r w:rsidRPr="00441FBF">
        <w:rPr>
          <w:b w:val="0"/>
          <w:lang w:val="uk-UA"/>
        </w:rPr>
        <w:t>Warszawa</w:t>
      </w:r>
      <w:proofErr w:type="spellEnd"/>
      <w:r w:rsidRPr="00441FBF">
        <w:rPr>
          <w:b w:val="0"/>
          <w:lang w:val="uk-UA"/>
        </w:rPr>
        <w:t xml:space="preserve">: </w:t>
      </w:r>
      <w:proofErr w:type="spellStart"/>
      <w:r w:rsidRPr="00441FBF">
        <w:rPr>
          <w:b w:val="0"/>
          <w:lang w:val="uk-UA"/>
        </w:rPr>
        <w:t>Poltex</w:t>
      </w:r>
      <w:proofErr w:type="spellEnd"/>
      <w:r w:rsidRPr="00441FBF">
        <w:rPr>
          <w:b w:val="0"/>
          <w:lang w:val="uk-UA"/>
        </w:rPr>
        <w:t xml:space="preserve">. 2011.327 s. </w:t>
      </w:r>
      <w:proofErr w:type="spellStart"/>
      <w:r w:rsidRPr="00441FBF">
        <w:rPr>
          <w:b w:val="0"/>
          <w:lang w:val="uk-UA"/>
        </w:rPr>
        <w:t>Robert</w:t>
      </w:r>
      <w:proofErr w:type="spellEnd"/>
      <w:r w:rsidRPr="00441FBF">
        <w:rPr>
          <w:b w:val="0"/>
          <w:lang w:val="uk-UA"/>
        </w:rPr>
        <w:t xml:space="preserve"> </w:t>
      </w:r>
      <w:proofErr w:type="spellStart"/>
      <w:r w:rsidRPr="00441FBF">
        <w:rPr>
          <w:b w:val="0"/>
          <w:lang w:val="uk-UA"/>
        </w:rPr>
        <w:t>Grochowski</w:t>
      </w:r>
      <w:proofErr w:type="spellEnd"/>
      <w:r w:rsidRPr="00441FBF">
        <w:rPr>
          <w:b w:val="0"/>
          <w:lang w:val="uk-UA"/>
        </w:rPr>
        <w:t xml:space="preserve">. </w:t>
      </w:r>
      <w:proofErr w:type="spellStart"/>
      <w:r w:rsidRPr="00441FBF">
        <w:rPr>
          <w:b w:val="0"/>
          <w:lang w:val="uk-UA"/>
        </w:rPr>
        <w:t>Polityka</w:t>
      </w:r>
      <w:proofErr w:type="spellEnd"/>
      <w:r w:rsidRPr="00441FBF">
        <w:rPr>
          <w:b w:val="0"/>
          <w:lang w:val="uk-UA"/>
        </w:rPr>
        <w:t xml:space="preserve"> </w:t>
      </w:r>
      <w:proofErr w:type="spellStart"/>
      <w:r w:rsidRPr="00441FBF">
        <w:rPr>
          <w:b w:val="0"/>
          <w:lang w:val="uk-UA"/>
        </w:rPr>
        <w:t>Unii</w:t>
      </w:r>
      <w:proofErr w:type="spellEnd"/>
      <w:r w:rsidRPr="00441FBF">
        <w:rPr>
          <w:b w:val="0"/>
          <w:lang w:val="uk-UA"/>
        </w:rPr>
        <w:t xml:space="preserve"> </w:t>
      </w:r>
      <w:proofErr w:type="spellStart"/>
      <w:r w:rsidRPr="00441FBF">
        <w:rPr>
          <w:b w:val="0"/>
          <w:lang w:val="uk-UA"/>
        </w:rPr>
        <w:t>Europejskiej</w:t>
      </w:r>
      <w:proofErr w:type="spellEnd"/>
      <w:r w:rsidRPr="00441FBF">
        <w:rPr>
          <w:b w:val="0"/>
          <w:lang w:val="uk-UA"/>
        </w:rPr>
        <w:t xml:space="preserve"> </w:t>
      </w:r>
      <w:proofErr w:type="spellStart"/>
      <w:r w:rsidRPr="00441FBF">
        <w:rPr>
          <w:b w:val="0"/>
          <w:lang w:val="uk-UA"/>
        </w:rPr>
        <w:t>wobec</w:t>
      </w:r>
      <w:proofErr w:type="spellEnd"/>
      <w:r w:rsidRPr="00441FBF">
        <w:rPr>
          <w:b w:val="0"/>
          <w:lang w:val="uk-UA"/>
        </w:rPr>
        <w:t xml:space="preserve"> </w:t>
      </w:r>
      <w:proofErr w:type="spellStart"/>
      <w:r w:rsidRPr="00441FBF">
        <w:rPr>
          <w:b w:val="0"/>
          <w:lang w:val="uk-UA"/>
        </w:rPr>
        <w:t>nielegalnych</w:t>
      </w:r>
      <w:proofErr w:type="spellEnd"/>
      <w:r w:rsidRPr="00441FBF">
        <w:rPr>
          <w:b w:val="0"/>
          <w:lang w:val="uk-UA"/>
        </w:rPr>
        <w:t xml:space="preserve"> </w:t>
      </w:r>
      <w:proofErr w:type="spellStart"/>
      <w:r w:rsidRPr="00441FBF">
        <w:rPr>
          <w:b w:val="0"/>
          <w:lang w:val="uk-UA"/>
        </w:rPr>
        <w:t>treści</w:t>
      </w:r>
      <w:proofErr w:type="spellEnd"/>
      <w:r w:rsidRPr="00441FBF">
        <w:rPr>
          <w:b w:val="0"/>
          <w:lang w:val="uk-UA"/>
        </w:rPr>
        <w:t xml:space="preserve"> w </w:t>
      </w:r>
      <w:proofErr w:type="spellStart"/>
      <w:r w:rsidRPr="00441FBF">
        <w:rPr>
          <w:b w:val="0"/>
          <w:lang w:val="uk-UA"/>
        </w:rPr>
        <w:t>internecie</w:t>
      </w:r>
      <w:proofErr w:type="spellEnd"/>
      <w:r w:rsidRPr="00441FBF">
        <w:rPr>
          <w:b w:val="0"/>
          <w:lang w:val="uk-UA"/>
        </w:rPr>
        <w:t xml:space="preserve">. </w:t>
      </w:r>
      <w:proofErr w:type="spellStart"/>
      <w:r w:rsidRPr="00441FBF">
        <w:rPr>
          <w:b w:val="0"/>
          <w:lang w:val="uk-UA"/>
        </w:rPr>
        <w:t>Wydawca</w:t>
      </w:r>
      <w:proofErr w:type="spellEnd"/>
      <w:r w:rsidRPr="00441FBF">
        <w:rPr>
          <w:b w:val="0"/>
          <w:lang w:val="uk-UA"/>
        </w:rPr>
        <w:t>: FNCE, 2022.</w:t>
      </w:r>
      <w:r w:rsidRPr="00441FBF">
        <w:rPr>
          <w:lang w:val="uk-UA"/>
        </w:rPr>
        <w:t xml:space="preserve"> </w:t>
      </w:r>
      <w:r w:rsidRPr="00441FBF">
        <w:rPr>
          <w:b w:val="0"/>
          <w:lang w:val="uk-UA"/>
        </w:rPr>
        <w:t>714 с.</w:t>
      </w:r>
    </w:p>
    <w:p w:rsidR="00BF481B" w:rsidRDefault="00BF481B" w:rsidP="00BF481B">
      <w:pPr>
        <w:pStyle w:val="11"/>
        <w:keepNext/>
        <w:keepLines/>
        <w:shd w:val="clear" w:color="auto" w:fill="auto"/>
        <w:spacing w:line="240" w:lineRule="auto"/>
        <w:rPr>
          <w:lang w:val="uk-UA"/>
        </w:rPr>
      </w:pPr>
    </w:p>
    <w:p w:rsidR="00BF481B" w:rsidRPr="00BF481B" w:rsidRDefault="00BF481B" w:rsidP="00BF481B">
      <w:pPr>
        <w:pStyle w:val="11"/>
        <w:keepNext/>
        <w:keepLines/>
        <w:shd w:val="clear" w:color="auto" w:fill="auto"/>
        <w:spacing w:line="240" w:lineRule="auto"/>
        <w:rPr>
          <w:i/>
          <w:lang w:val="uk-UA"/>
        </w:rPr>
      </w:pPr>
      <w:r w:rsidRPr="00BF481B">
        <w:rPr>
          <w:i/>
          <w:lang w:val="uk-UA"/>
        </w:rPr>
        <w:t>Допоміжна література</w:t>
      </w:r>
      <w:bookmarkEnd w:id="2"/>
      <w:bookmarkEnd w:id="3"/>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r w:rsidRPr="00441FBF">
        <w:rPr>
          <w:b w:val="0"/>
          <w:lang w:val="uk-UA"/>
        </w:rPr>
        <w:t>Аграрна політика Європейськог</w:t>
      </w:r>
      <w:r>
        <w:rPr>
          <w:b w:val="0"/>
          <w:lang w:val="uk-UA"/>
        </w:rPr>
        <w:t>о Союзу: виклики та перспективи</w:t>
      </w:r>
      <w:r w:rsidRPr="00441FBF">
        <w:rPr>
          <w:b w:val="0"/>
          <w:lang w:val="uk-UA"/>
        </w:rPr>
        <w:t xml:space="preserve">: монографія // </w:t>
      </w:r>
      <w:r>
        <w:rPr>
          <w:b w:val="0"/>
          <w:lang w:val="uk-UA"/>
        </w:rPr>
        <w:t xml:space="preserve">за ред. проф. Т.О. Зінчук. К. </w:t>
      </w:r>
      <w:r w:rsidRPr="00441FBF">
        <w:rPr>
          <w:b w:val="0"/>
          <w:lang w:val="uk-UA"/>
        </w:rPr>
        <w:t xml:space="preserve">: «Центр учбової літератури», 2019. 494 с. </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proofErr w:type="spellStart"/>
      <w:r w:rsidRPr="00441FBF">
        <w:rPr>
          <w:b w:val="0"/>
          <w:lang w:val="uk-UA"/>
        </w:rPr>
        <w:t>Горюнова</w:t>
      </w:r>
      <w:proofErr w:type="spellEnd"/>
      <w:r w:rsidRPr="00441FBF">
        <w:rPr>
          <w:b w:val="0"/>
          <w:lang w:val="uk-UA"/>
        </w:rPr>
        <w:t xml:space="preserve"> Є. О. Євроінтеграція : </w:t>
      </w:r>
      <w:proofErr w:type="spellStart"/>
      <w:r w:rsidRPr="00441FBF">
        <w:rPr>
          <w:b w:val="0"/>
          <w:lang w:val="uk-UA"/>
        </w:rPr>
        <w:t>навч</w:t>
      </w:r>
      <w:proofErr w:type="spellEnd"/>
      <w:r w:rsidRPr="00441FBF">
        <w:rPr>
          <w:b w:val="0"/>
          <w:lang w:val="uk-UA"/>
        </w:rPr>
        <w:t>.</w:t>
      </w:r>
      <w:r>
        <w:rPr>
          <w:b w:val="0"/>
          <w:lang w:val="uk-UA"/>
        </w:rPr>
        <w:t xml:space="preserve"> </w:t>
      </w:r>
      <w:proofErr w:type="spellStart"/>
      <w:r>
        <w:rPr>
          <w:b w:val="0"/>
          <w:lang w:val="uk-UA"/>
        </w:rPr>
        <w:t>посіб</w:t>
      </w:r>
      <w:proofErr w:type="spellEnd"/>
      <w:r>
        <w:rPr>
          <w:b w:val="0"/>
          <w:lang w:val="uk-UA"/>
        </w:rPr>
        <w:t xml:space="preserve">. К. </w:t>
      </w:r>
      <w:r w:rsidRPr="00441FBF">
        <w:rPr>
          <w:b w:val="0"/>
          <w:lang w:val="uk-UA"/>
        </w:rPr>
        <w:t xml:space="preserve">: </w:t>
      </w:r>
      <w:proofErr w:type="spellStart"/>
      <w:r w:rsidRPr="00441FBF">
        <w:rPr>
          <w:b w:val="0"/>
          <w:lang w:val="uk-UA"/>
        </w:rPr>
        <w:t>Академвидав</w:t>
      </w:r>
      <w:proofErr w:type="spellEnd"/>
      <w:r w:rsidRPr="00441FBF">
        <w:rPr>
          <w:b w:val="0"/>
          <w:lang w:val="uk-UA"/>
        </w:rPr>
        <w:t xml:space="preserve">, 2013. 224 с. </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r w:rsidRPr="00441FBF">
        <w:rPr>
          <w:b w:val="0"/>
          <w:lang w:val="uk-UA"/>
        </w:rPr>
        <w:t xml:space="preserve">Глобалізація та </w:t>
      </w:r>
      <w:proofErr w:type="spellStart"/>
      <w:r w:rsidRPr="00441FBF">
        <w:rPr>
          <w:b w:val="0"/>
          <w:lang w:val="uk-UA"/>
        </w:rPr>
        <w:t>регіоналізація</w:t>
      </w:r>
      <w:proofErr w:type="spellEnd"/>
      <w:r w:rsidRPr="00441FBF">
        <w:rPr>
          <w:b w:val="0"/>
          <w:lang w:val="uk-UA"/>
        </w:rPr>
        <w:t xml:space="preserve"> як вектори розвитку міжнародних економічних відносин : колективна монографія / </w:t>
      </w:r>
      <w:proofErr w:type="spellStart"/>
      <w:r w:rsidRPr="00441FBF">
        <w:rPr>
          <w:b w:val="0"/>
          <w:lang w:val="uk-UA"/>
        </w:rPr>
        <w:t>кол</w:t>
      </w:r>
      <w:proofErr w:type="spellEnd"/>
      <w:r w:rsidRPr="00441FBF">
        <w:rPr>
          <w:b w:val="0"/>
          <w:lang w:val="uk-UA"/>
        </w:rPr>
        <w:t>. авт. ; за ред. О</w:t>
      </w:r>
      <w:r>
        <w:rPr>
          <w:b w:val="0"/>
          <w:lang w:val="uk-UA"/>
        </w:rPr>
        <w:t xml:space="preserve">.А. </w:t>
      </w:r>
      <w:proofErr w:type="spellStart"/>
      <w:r>
        <w:rPr>
          <w:b w:val="0"/>
          <w:lang w:val="uk-UA"/>
        </w:rPr>
        <w:t>Довгаль</w:t>
      </w:r>
      <w:proofErr w:type="spellEnd"/>
      <w:r>
        <w:rPr>
          <w:b w:val="0"/>
          <w:lang w:val="uk-UA"/>
        </w:rPr>
        <w:t>, Н.</w:t>
      </w:r>
      <w:r w:rsidRPr="00441FBF">
        <w:rPr>
          <w:b w:val="0"/>
          <w:lang w:val="uk-UA"/>
        </w:rPr>
        <w:t xml:space="preserve">А. </w:t>
      </w:r>
      <w:proofErr w:type="spellStart"/>
      <w:r w:rsidRPr="00441FBF">
        <w:rPr>
          <w:b w:val="0"/>
          <w:lang w:val="uk-UA"/>
        </w:rPr>
        <w:t>К</w:t>
      </w:r>
      <w:r>
        <w:rPr>
          <w:b w:val="0"/>
          <w:lang w:val="uk-UA"/>
        </w:rPr>
        <w:t>азакової</w:t>
      </w:r>
      <w:proofErr w:type="spellEnd"/>
      <w:r>
        <w:rPr>
          <w:b w:val="0"/>
          <w:lang w:val="uk-UA"/>
        </w:rPr>
        <w:t>. Харків : ХНУ імені В.</w:t>
      </w:r>
      <w:r w:rsidRPr="00441FBF">
        <w:rPr>
          <w:b w:val="0"/>
          <w:lang w:val="uk-UA"/>
        </w:rPr>
        <w:t xml:space="preserve">Н. </w:t>
      </w:r>
      <w:proofErr w:type="spellStart"/>
      <w:r w:rsidRPr="00441FBF">
        <w:rPr>
          <w:b w:val="0"/>
          <w:lang w:val="uk-UA"/>
        </w:rPr>
        <w:t>Каразіна</w:t>
      </w:r>
      <w:proofErr w:type="spellEnd"/>
      <w:r w:rsidRPr="00441FBF">
        <w:rPr>
          <w:b w:val="0"/>
          <w:lang w:val="uk-UA"/>
        </w:rPr>
        <w:t xml:space="preserve">, 2018. 540 с. </w:t>
      </w:r>
    </w:p>
    <w:p w:rsidR="00BF481B" w:rsidRDefault="00BF481B" w:rsidP="00BF481B">
      <w:pPr>
        <w:pStyle w:val="11"/>
        <w:keepNext/>
        <w:keepLines/>
        <w:numPr>
          <w:ilvl w:val="0"/>
          <w:numId w:val="5"/>
        </w:numPr>
        <w:shd w:val="clear" w:color="auto" w:fill="auto"/>
        <w:spacing w:line="240" w:lineRule="auto"/>
        <w:ind w:left="0" w:firstLine="567"/>
        <w:jc w:val="both"/>
        <w:rPr>
          <w:b w:val="0"/>
          <w:lang w:val="uk-UA"/>
        </w:rPr>
      </w:pPr>
      <w:r w:rsidRPr="00441FBF">
        <w:rPr>
          <w:b w:val="0"/>
          <w:lang w:val="uk-UA"/>
        </w:rPr>
        <w:t>Євро</w:t>
      </w:r>
      <w:r>
        <w:rPr>
          <w:b w:val="0"/>
          <w:lang w:val="uk-UA"/>
        </w:rPr>
        <w:t xml:space="preserve">пейський Союз: </w:t>
      </w:r>
      <w:proofErr w:type="spellStart"/>
      <w:r>
        <w:rPr>
          <w:b w:val="0"/>
          <w:lang w:val="uk-UA"/>
        </w:rPr>
        <w:t>навч</w:t>
      </w:r>
      <w:proofErr w:type="spellEnd"/>
      <w:r>
        <w:rPr>
          <w:b w:val="0"/>
          <w:lang w:val="uk-UA"/>
        </w:rPr>
        <w:t xml:space="preserve">. </w:t>
      </w:r>
      <w:proofErr w:type="spellStart"/>
      <w:r>
        <w:rPr>
          <w:b w:val="0"/>
          <w:lang w:val="uk-UA"/>
        </w:rPr>
        <w:t>посіб</w:t>
      </w:r>
      <w:proofErr w:type="spellEnd"/>
      <w:r>
        <w:rPr>
          <w:b w:val="0"/>
          <w:lang w:val="uk-UA"/>
        </w:rPr>
        <w:t>. К.</w:t>
      </w:r>
      <w:r w:rsidRPr="00441FBF">
        <w:rPr>
          <w:b w:val="0"/>
          <w:lang w:val="uk-UA"/>
        </w:rPr>
        <w:t xml:space="preserve"> : Освіта України, 2020. 600 с. </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proofErr w:type="spellStart"/>
      <w:r w:rsidRPr="00441FBF">
        <w:rPr>
          <w:b w:val="0"/>
          <w:lang w:val="uk-UA"/>
        </w:rPr>
        <w:t>Євроекономічна</w:t>
      </w:r>
      <w:proofErr w:type="spellEnd"/>
      <w:r w:rsidRPr="00441FBF">
        <w:rPr>
          <w:b w:val="0"/>
          <w:lang w:val="uk-UA"/>
        </w:rPr>
        <w:t xml:space="preserve"> інтеграц</w:t>
      </w:r>
      <w:r>
        <w:rPr>
          <w:b w:val="0"/>
          <w:lang w:val="uk-UA"/>
        </w:rPr>
        <w:t xml:space="preserve">ія України: </w:t>
      </w:r>
      <w:proofErr w:type="spellStart"/>
      <w:r>
        <w:rPr>
          <w:b w:val="0"/>
          <w:lang w:val="uk-UA"/>
        </w:rPr>
        <w:t>навч</w:t>
      </w:r>
      <w:proofErr w:type="spellEnd"/>
      <w:r>
        <w:rPr>
          <w:b w:val="0"/>
          <w:lang w:val="uk-UA"/>
        </w:rPr>
        <w:t xml:space="preserve">. посібник / Л.І. Михайлова, Н.В. </w:t>
      </w:r>
      <w:proofErr w:type="spellStart"/>
      <w:r>
        <w:rPr>
          <w:b w:val="0"/>
          <w:lang w:val="uk-UA"/>
        </w:rPr>
        <w:t>Волченко</w:t>
      </w:r>
      <w:proofErr w:type="spellEnd"/>
      <w:r>
        <w:rPr>
          <w:b w:val="0"/>
          <w:lang w:val="uk-UA"/>
        </w:rPr>
        <w:t>, Т.О. Зінчук, С.</w:t>
      </w:r>
      <w:r w:rsidRPr="00441FBF">
        <w:rPr>
          <w:b w:val="0"/>
          <w:lang w:val="uk-UA"/>
        </w:rPr>
        <w:t xml:space="preserve">М. Кваша. К. : ЦУЛ, 2013. 136 с. </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r w:rsidRPr="00441FBF">
        <w:rPr>
          <w:b w:val="0"/>
          <w:lang w:val="uk-UA"/>
        </w:rPr>
        <w:t>Європейський Союз: економіка, політика, право. Енциклопедичний словник. К.</w:t>
      </w:r>
      <w:r>
        <w:rPr>
          <w:b w:val="0"/>
          <w:lang w:val="uk-UA"/>
        </w:rPr>
        <w:t xml:space="preserve"> </w:t>
      </w:r>
      <w:r w:rsidRPr="00441FBF">
        <w:rPr>
          <w:b w:val="0"/>
          <w:lang w:val="uk-UA"/>
        </w:rPr>
        <w:t>: ВПЦ «Київський університет», 2011. 368 с.</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proofErr w:type="spellStart"/>
      <w:r w:rsidRPr="00441FBF">
        <w:rPr>
          <w:b w:val="0"/>
          <w:lang w:val="uk-UA"/>
        </w:rPr>
        <w:t>Костюченко</w:t>
      </w:r>
      <w:proofErr w:type="spellEnd"/>
      <w:r w:rsidRPr="00441FBF">
        <w:rPr>
          <w:b w:val="0"/>
          <w:lang w:val="uk-UA"/>
        </w:rPr>
        <w:t xml:space="preserve"> Я.М. Правове регулювання відносин асоціації між Україною та Європейським Союзом:</w:t>
      </w:r>
      <w:r>
        <w:rPr>
          <w:b w:val="0"/>
          <w:lang w:val="uk-UA"/>
        </w:rPr>
        <w:t xml:space="preserve"> монографія. К. :</w:t>
      </w:r>
      <w:r w:rsidRPr="00441FBF">
        <w:rPr>
          <w:b w:val="0"/>
          <w:lang w:val="uk-UA"/>
        </w:rPr>
        <w:t xml:space="preserve"> Київський університет, 2019. 447 с.</w:t>
      </w:r>
    </w:p>
    <w:p w:rsidR="00BF481B" w:rsidRPr="00441FBF" w:rsidRDefault="00BF481B" w:rsidP="00BF481B">
      <w:pPr>
        <w:pStyle w:val="11"/>
        <w:keepNext/>
        <w:keepLines/>
        <w:numPr>
          <w:ilvl w:val="0"/>
          <w:numId w:val="5"/>
        </w:numPr>
        <w:shd w:val="clear" w:color="auto" w:fill="auto"/>
        <w:spacing w:line="240" w:lineRule="auto"/>
        <w:ind w:left="0" w:firstLine="567"/>
        <w:jc w:val="both"/>
        <w:rPr>
          <w:b w:val="0"/>
          <w:lang w:val="uk-UA"/>
        </w:rPr>
      </w:pPr>
      <w:proofErr w:type="spellStart"/>
      <w:r w:rsidRPr="00441FBF">
        <w:rPr>
          <w:b w:val="0"/>
          <w:lang w:val="uk-UA"/>
        </w:rPr>
        <w:t>Сіденко</w:t>
      </w:r>
      <w:proofErr w:type="spellEnd"/>
      <w:r w:rsidRPr="00441FBF">
        <w:rPr>
          <w:b w:val="0"/>
          <w:lang w:val="uk-UA"/>
        </w:rPr>
        <w:t xml:space="preserve"> В.Р. Кризові процеси у розвитку інтеграції в ЄС: витоки та перспективи. </w:t>
      </w:r>
      <w:r w:rsidRPr="00441FBF">
        <w:rPr>
          <w:b w:val="0"/>
          <w:i/>
          <w:lang w:val="uk-UA"/>
        </w:rPr>
        <w:t>Економіка і прогнозування</w:t>
      </w:r>
      <w:r w:rsidRPr="00441FBF">
        <w:rPr>
          <w:b w:val="0"/>
          <w:lang w:val="uk-UA"/>
        </w:rPr>
        <w:t>. 2017. №1. С. 7-34.</w:t>
      </w:r>
    </w:p>
    <w:p w:rsidR="00BF481B" w:rsidRPr="00B125D5" w:rsidRDefault="00BF481B" w:rsidP="00B125D5">
      <w:pPr>
        <w:shd w:val="clear" w:color="auto" w:fill="FFFFFF"/>
        <w:ind w:left="284" w:right="1" w:firstLine="567"/>
        <w:jc w:val="both"/>
        <w:rPr>
          <w:rFonts w:ascii="Times New Roman" w:hAnsi="Times New Roman" w:cs="Times New Roman"/>
          <w:sz w:val="28"/>
          <w:szCs w:val="28"/>
        </w:rPr>
      </w:pPr>
    </w:p>
    <w:sectPr w:rsidR="00BF481B" w:rsidRPr="00B125D5" w:rsidSect="00D53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142"/>
    <w:multiLevelType w:val="multilevel"/>
    <w:tmpl w:val="D89A4A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0A51DD"/>
    <w:multiLevelType w:val="hybridMultilevel"/>
    <w:tmpl w:val="A032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771C8"/>
    <w:multiLevelType w:val="hybridMultilevel"/>
    <w:tmpl w:val="9E687602"/>
    <w:lvl w:ilvl="0" w:tplc="9B6C1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56920"/>
    <w:multiLevelType w:val="multilevel"/>
    <w:tmpl w:val="576667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5766EC"/>
    <w:multiLevelType w:val="multilevel"/>
    <w:tmpl w:val="59B87F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5D5"/>
    <w:rsid w:val="002A1BF2"/>
    <w:rsid w:val="00441FBF"/>
    <w:rsid w:val="00747F15"/>
    <w:rsid w:val="007A089D"/>
    <w:rsid w:val="00B125D5"/>
    <w:rsid w:val="00BF481B"/>
    <w:rsid w:val="00D5317D"/>
    <w:rsid w:val="00F6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D5"/>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25D5"/>
    <w:rPr>
      <w:color w:val="0563C1"/>
      <w:u w:val="single"/>
    </w:rPr>
  </w:style>
  <w:style w:type="character" w:customStyle="1" w:styleId="a4">
    <w:name w:val="Основной текст_"/>
    <w:basedOn w:val="a0"/>
    <w:link w:val="1"/>
    <w:locked/>
    <w:rsid w:val="00B125D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B125D5"/>
    <w:pPr>
      <w:shd w:val="clear" w:color="auto" w:fill="FFFFFF"/>
    </w:pPr>
    <w:rPr>
      <w:rFonts w:ascii="Times New Roman" w:eastAsia="Times New Roman" w:hAnsi="Times New Roman" w:cs="Times New Roman"/>
      <w:color w:val="auto"/>
      <w:sz w:val="28"/>
      <w:szCs w:val="28"/>
      <w:lang w:val="ru-RU" w:eastAsia="en-US" w:bidi="ar-SA"/>
    </w:rPr>
  </w:style>
  <w:style w:type="character" w:customStyle="1" w:styleId="2">
    <w:name w:val="Основной текст (2)_"/>
    <w:basedOn w:val="a0"/>
    <w:link w:val="20"/>
    <w:locked/>
    <w:rsid w:val="00B125D5"/>
    <w:rPr>
      <w:rFonts w:ascii="Times New Roman" w:eastAsia="Times New Roman" w:hAnsi="Times New Roman" w:cs="Times New Roman"/>
      <w:shd w:val="clear" w:color="auto" w:fill="FFFFFF"/>
    </w:rPr>
  </w:style>
  <w:style w:type="paragraph" w:customStyle="1" w:styleId="20">
    <w:name w:val="Основной текст (2)"/>
    <w:basedOn w:val="a"/>
    <w:link w:val="2"/>
    <w:rsid w:val="00B125D5"/>
    <w:pPr>
      <w:shd w:val="clear" w:color="auto" w:fill="FFFFFF"/>
    </w:pPr>
    <w:rPr>
      <w:rFonts w:ascii="Times New Roman" w:eastAsia="Times New Roman" w:hAnsi="Times New Roman" w:cs="Times New Roman"/>
      <w:color w:val="auto"/>
      <w:sz w:val="22"/>
      <w:szCs w:val="22"/>
      <w:lang w:val="ru-RU" w:eastAsia="en-US" w:bidi="ar-SA"/>
    </w:rPr>
  </w:style>
  <w:style w:type="character" w:customStyle="1" w:styleId="10">
    <w:name w:val="Заголовок №1_"/>
    <w:basedOn w:val="a0"/>
    <w:link w:val="11"/>
    <w:locked/>
    <w:rsid w:val="00B125D5"/>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B125D5"/>
    <w:pPr>
      <w:shd w:val="clear" w:color="auto" w:fill="FFFFFF"/>
      <w:spacing w:line="228" w:lineRule="auto"/>
      <w:jc w:val="center"/>
      <w:outlineLvl w:val="0"/>
    </w:pPr>
    <w:rPr>
      <w:rFonts w:ascii="Times New Roman" w:eastAsia="Times New Roman" w:hAnsi="Times New Roman" w:cs="Times New Roman"/>
      <w:b/>
      <w:bCs/>
      <w:color w:val="auto"/>
      <w:sz w:val="28"/>
      <w:szCs w:val="28"/>
      <w:lang w:val="ru-RU" w:eastAsia="en-US" w:bidi="ar-SA"/>
    </w:rPr>
  </w:style>
</w:styles>
</file>

<file path=word/webSettings.xml><?xml version="1.0" encoding="utf-8"?>
<w:webSettings xmlns:r="http://schemas.openxmlformats.org/officeDocument/2006/relationships" xmlns:w="http://schemas.openxmlformats.org/wordprocessingml/2006/main">
  <w:divs>
    <w:div w:id="1483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5</cp:revision>
  <dcterms:created xsi:type="dcterms:W3CDTF">2024-09-12T19:33:00Z</dcterms:created>
  <dcterms:modified xsi:type="dcterms:W3CDTF">2024-09-12T19:53:00Z</dcterms:modified>
</cp:coreProperties>
</file>